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20" w:lineRule="atLeast"/>
        <w:rPr>
          <w:rFonts w:hint="eastAsia" w:ascii="黑体" w:hAnsi="黑体" w:eastAsia="黑体" w:cs="黑体"/>
          <w:bCs/>
          <w:color w:val="000000"/>
          <w:sz w:val="24"/>
          <w:szCs w:val="24"/>
        </w:rPr>
      </w:pPr>
    </w:p>
    <w:p>
      <w:pPr>
        <w:spacing w:line="360" w:lineRule="auto"/>
        <w:jc w:val="center"/>
        <w:rPr>
          <w:rFonts w:hint="eastAsia" w:ascii="仿宋_GB2312" w:eastAsia="仿宋_GB2312"/>
          <w:color w:val="000000"/>
          <w:sz w:val="28"/>
        </w:rPr>
      </w:pPr>
    </w:p>
    <w:p>
      <w:pPr>
        <w:pStyle w:val="11"/>
        <w:rPr>
          <w:rFonts w:hint="eastAsia" w:ascii="仿宋_GB2312" w:eastAsia="仿宋_GB2312"/>
          <w:color w:val="000000"/>
          <w:sz w:val="28"/>
        </w:rPr>
      </w:pPr>
    </w:p>
    <w:p>
      <w:pPr>
        <w:pStyle w:val="11"/>
        <w:ind w:left="0" w:leftChars="0" w:firstLine="0" w:firstLineChars="0"/>
        <w:rPr>
          <w:rFonts w:hint="eastAsia"/>
        </w:rPr>
      </w:pPr>
    </w:p>
    <w:p>
      <w:pPr>
        <w:spacing w:line="360" w:lineRule="auto"/>
        <w:jc w:val="center"/>
        <w:rPr>
          <w:rFonts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Times New Roman" w:hAnsi="Times New Roman" w:eastAsia="宋体" w:cs="Times New Roman"/>
          <w:b/>
          <w:color w:val="000000"/>
          <w:sz w:val="44"/>
          <w:szCs w:val="44"/>
          <w:lang w:eastAsia="zh-CN"/>
        </w:rPr>
      </w:pPr>
      <w:r>
        <w:rPr>
          <w:rFonts w:hint="eastAsia" w:ascii="Times New Roman" w:hAnsi="Times New Roman" w:eastAsia="宋体" w:cs="Times New Roman"/>
          <w:b/>
          <w:color w:val="000000"/>
          <w:sz w:val="44"/>
          <w:szCs w:val="44"/>
          <w:lang w:eastAsia="zh-CN"/>
        </w:rPr>
        <w:t>凯瑞公司年产20万方混凝土项目一期工程</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sz w:val="44"/>
          <w:szCs w:val="44"/>
        </w:rPr>
      </w:pPr>
      <w:r>
        <w:rPr>
          <w:rFonts w:hint="default" w:ascii="Times New Roman" w:hAnsi="Times New Roman" w:eastAsia="宋体" w:cs="Times New Roman"/>
          <w:b/>
          <w:color w:val="000000"/>
          <w:sz w:val="44"/>
          <w:szCs w:val="44"/>
        </w:rPr>
        <w:t>竣工环境保护验收监测报告</w:t>
      </w:r>
    </w:p>
    <w:p>
      <w:pPr>
        <w:spacing w:line="360" w:lineRule="auto"/>
        <w:jc w:val="center"/>
        <w:rPr>
          <w:rFonts w:ascii="仿宋_GB2312" w:eastAsia="仿宋_GB2312"/>
          <w:color w:val="000000"/>
          <w:sz w:val="28"/>
        </w:rPr>
      </w:pP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pStyle w:val="11"/>
        <w:rPr>
          <w:rFonts w:hint="eastAsia"/>
        </w:rPr>
      </w:pPr>
    </w:p>
    <w:p>
      <w:pPr>
        <w:jc w:val="center"/>
        <w:rPr>
          <w:rFonts w:ascii="仿宋_GB2312" w:eastAsia="仿宋_GB2312"/>
          <w:color w:val="000000"/>
          <w:sz w:val="28"/>
        </w:rPr>
      </w:pPr>
    </w:p>
    <w:p>
      <w:pPr>
        <w:rPr>
          <w:rFonts w:ascii="仿宋_GB2312" w:eastAsia="仿宋_GB2312"/>
          <w:color w:val="000000"/>
          <w:sz w:val="28"/>
        </w:rPr>
      </w:pPr>
    </w:p>
    <w:p>
      <w:pPr>
        <w:pStyle w:val="11"/>
      </w:pPr>
    </w:p>
    <w:p>
      <w:pPr>
        <w:rPr>
          <w:rFonts w:hint="eastAsia" w:ascii="华文新魏" w:eastAsia="华文新魏"/>
          <w:color w:val="000000"/>
          <w:sz w:val="28"/>
          <w:szCs w:val="28"/>
        </w:rPr>
      </w:pPr>
      <w:r>
        <w:rPr>
          <w:rFonts w:ascii="仿宋_GB2312" w:eastAsia="仿宋_GB2312"/>
          <w:color w:val="000000"/>
          <w:sz w:val="28"/>
        </w:rPr>
        <w:tab/>
      </w:r>
    </w:p>
    <w:p>
      <w:pPr>
        <w:keepNext w:val="0"/>
        <w:keepLines w:val="0"/>
        <w:pageBreakBefore w:val="0"/>
        <w:kinsoku/>
        <w:wordWrap/>
        <w:overflowPunct/>
        <w:topLinePunct w:val="0"/>
        <w:bidi w:val="0"/>
        <w:adjustRightInd w:val="0"/>
        <w:spacing w:after="0" w:line="360" w:lineRule="auto"/>
        <w:ind w:firstLine="1807" w:firstLineChars="600"/>
        <w:jc w:val="both"/>
        <w:textAlignment w:val="auto"/>
        <w:rPr>
          <w:rFonts w:hint="eastAsia" w:ascii="宋体" w:hAnsi="宋体" w:eastAsia="宋体" w:cs="宋体"/>
          <w:b/>
          <w:bCs/>
          <w:sz w:val="30"/>
          <w:szCs w:val="30"/>
          <w:u w:val="single"/>
          <w:lang w:eastAsia="zh-CN"/>
        </w:rPr>
      </w:pPr>
      <w:r>
        <w:rPr>
          <w:rFonts w:hint="eastAsia" w:ascii="宋体" w:hAnsi="宋体" w:eastAsia="宋体" w:cs="宋体"/>
          <w:b/>
          <w:bCs/>
          <w:sz w:val="30"/>
          <w:szCs w:val="30"/>
        </w:rPr>
        <w:t>建设单位：</w:t>
      </w:r>
      <w:r>
        <w:rPr>
          <w:rFonts w:hint="eastAsia" w:ascii="宋体" w:hAnsi="宋体" w:eastAsia="宋体" w:cs="宋体"/>
          <w:b/>
          <w:bCs/>
          <w:sz w:val="30"/>
          <w:szCs w:val="30"/>
          <w:u w:val="single"/>
          <w:lang w:eastAsia="zh-CN"/>
        </w:rPr>
        <w:t>菏泽凯瑞投资管理有限公司</w:t>
      </w:r>
    </w:p>
    <w:p>
      <w:pPr>
        <w:pStyle w:val="2"/>
        <w:keepNext w:val="0"/>
        <w:keepLines w:val="0"/>
        <w:pageBreakBefore w:val="0"/>
        <w:kinsoku/>
        <w:wordWrap/>
        <w:overflowPunct/>
        <w:topLinePunct w:val="0"/>
        <w:bidi w:val="0"/>
        <w:adjustRightInd w:val="0"/>
        <w:spacing w:line="360" w:lineRule="auto"/>
        <w:jc w:val="both"/>
        <w:textAlignment w:val="auto"/>
        <w:rPr>
          <w:rFonts w:hint="eastAsia" w:ascii="宋体" w:hAnsi="宋体" w:eastAsia="宋体" w:cs="宋体"/>
          <w:b/>
          <w:bCs/>
          <w:color w:val="auto"/>
          <w:sz w:val="30"/>
          <w:szCs w:val="30"/>
          <w:u w:val="single"/>
        </w:rPr>
      </w:pPr>
    </w:p>
    <w:p>
      <w:pPr>
        <w:keepNext w:val="0"/>
        <w:keepLines w:val="0"/>
        <w:pageBreakBefore w:val="0"/>
        <w:kinsoku/>
        <w:wordWrap/>
        <w:overflowPunct/>
        <w:topLinePunct w:val="0"/>
        <w:bidi w:val="0"/>
        <w:adjustRightInd w:val="0"/>
        <w:spacing w:after="0" w:line="360" w:lineRule="auto"/>
        <w:ind w:firstLine="1807" w:firstLineChars="600"/>
        <w:jc w:val="both"/>
        <w:textAlignment w:val="auto"/>
        <w:rPr>
          <w:rFonts w:hint="eastAsia" w:ascii="宋体" w:hAnsi="宋体" w:eastAsia="宋体" w:cs="宋体"/>
          <w:b/>
          <w:bCs/>
          <w:sz w:val="32"/>
          <w:lang w:eastAsia="zh-CN"/>
        </w:rPr>
      </w:pPr>
      <w:r>
        <w:rPr>
          <w:rFonts w:hint="eastAsia" w:ascii="宋体" w:hAnsi="宋体" w:eastAsia="宋体" w:cs="宋体"/>
          <w:b/>
          <w:bCs/>
          <w:sz w:val="30"/>
          <w:szCs w:val="30"/>
        </w:rPr>
        <w:t>编制单位：</w:t>
      </w:r>
      <w:r>
        <w:rPr>
          <w:rFonts w:hint="eastAsia" w:ascii="宋体" w:hAnsi="宋体" w:eastAsia="宋体" w:cs="宋体"/>
          <w:b/>
          <w:bCs/>
          <w:sz w:val="30"/>
          <w:szCs w:val="30"/>
          <w:u w:val="single"/>
          <w:lang w:eastAsia="zh-CN"/>
        </w:rPr>
        <w:t>菏泽凯瑞投资管理有限公司</w:t>
      </w:r>
    </w:p>
    <w:p>
      <w:pPr>
        <w:pStyle w:val="2"/>
        <w:rPr>
          <w:rFonts w:ascii="Times New Roman" w:cs="Times New Roman"/>
          <w:b/>
          <w:bCs/>
          <w:color w:val="auto"/>
          <w:sz w:val="32"/>
        </w:rPr>
      </w:pPr>
    </w:p>
    <w:p>
      <w:pPr>
        <w:jc w:val="center"/>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编制日期：202</w:t>
      </w:r>
      <w:r>
        <w:rPr>
          <w:rFonts w:hint="eastAsia" w:ascii="Times New Roman" w:hAnsi="Times New Roman" w:eastAsia="宋体" w:cs="Times New Roman"/>
          <w:b/>
          <w:bCs/>
          <w:sz w:val="30"/>
          <w:szCs w:val="30"/>
          <w:lang w:val="en-US" w:eastAsia="zh-CN"/>
        </w:rPr>
        <w:t>2</w:t>
      </w:r>
      <w:r>
        <w:rPr>
          <w:rFonts w:hint="default" w:ascii="Times New Roman" w:hAnsi="Times New Roman" w:eastAsia="宋体" w:cs="Times New Roman"/>
          <w:b/>
          <w:bCs/>
          <w:sz w:val="30"/>
          <w:szCs w:val="30"/>
        </w:rPr>
        <w:t>年</w:t>
      </w:r>
      <w:r>
        <w:rPr>
          <w:rFonts w:hint="eastAsia" w:ascii="Times New Roman" w:hAnsi="Times New Roman" w:eastAsia="宋体" w:cs="Times New Roman"/>
          <w:b/>
          <w:bCs/>
          <w:sz w:val="30"/>
          <w:szCs w:val="30"/>
          <w:lang w:val="en-US" w:eastAsia="zh-CN"/>
        </w:rPr>
        <w:t>6</w:t>
      </w:r>
      <w:r>
        <w:rPr>
          <w:rFonts w:hint="default" w:ascii="Times New Roman" w:hAnsi="Times New Roman" w:eastAsia="宋体" w:cs="Times New Roman"/>
          <w:b/>
          <w:bCs/>
          <w:sz w:val="30"/>
          <w:szCs w:val="30"/>
        </w:rPr>
        <w:t>月</w:t>
      </w:r>
    </w:p>
    <w:p>
      <w:pPr>
        <w:jc w:val="center"/>
        <w:rPr>
          <w:rFonts w:hint="default" w:ascii="Times New Roman" w:hAnsi="Times New Roman" w:eastAsia="宋体" w:cs="Times New Roman"/>
          <w:b/>
          <w:bCs/>
          <w:sz w:val="30"/>
          <w:szCs w:val="30"/>
        </w:rPr>
        <w:sectPr>
          <w:footerReference r:id="rId7" w:type="first"/>
          <w:headerReference r:id="rId4" w:type="default"/>
          <w:footerReference r:id="rId5" w:type="default"/>
          <w:footerReference r:id="rId6" w:type="even"/>
          <w:pgSz w:w="11906" w:h="16838"/>
          <w:pgMar w:top="1417" w:right="1134" w:bottom="1417" w:left="1417" w:header="851" w:footer="850" w:gutter="0"/>
          <w:pgNumType w:start="1"/>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ascii="仿宋_GB2312" w:eastAsia="仿宋_GB2312"/>
          <w:sz w:val="28"/>
        </w:rPr>
      </w:pPr>
      <w:r>
        <w:rPr>
          <w:rFonts w:hint="eastAsia" w:ascii="仿宋_GB2312" w:eastAsia="仿宋_GB2312"/>
          <w:b/>
          <w:sz w:val="28"/>
        </w:rPr>
        <w:t>建设单位法人代表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ascii="仿宋_GB2312" w:eastAsia="仿宋_GB2312"/>
          <w:sz w:val="28"/>
        </w:rPr>
      </w:pPr>
      <w:r>
        <w:rPr>
          <w:rFonts w:hint="eastAsia" w:ascii="仿宋_GB2312" w:eastAsia="仿宋_GB2312"/>
          <w:b/>
          <w:sz w:val="28"/>
        </w:rPr>
        <w:t>编制单位法人代表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ascii="仿宋_GB2312" w:eastAsia="仿宋_GB2312"/>
          <w:b/>
          <w:spacing w:val="7"/>
          <w:w w:val="79"/>
          <w:sz w:val="28"/>
        </w:rPr>
      </w:pPr>
      <w:r>
        <w:rPr>
          <w:rFonts w:hint="eastAsia" w:ascii="仿宋_GB2312" w:eastAsia="仿宋_GB2312"/>
          <w:b/>
          <w:spacing w:val="20"/>
          <w:w w:val="79"/>
          <w:sz w:val="28"/>
        </w:rPr>
        <w:t>项  目  负 责 人</w:t>
      </w:r>
      <w:r>
        <w:rPr>
          <w:rFonts w:ascii="仿宋_GB2312" w:eastAsia="仿宋_GB2312"/>
          <w:b/>
          <w:spacing w:val="10"/>
          <w:w w:val="79"/>
          <w:sz w:val="28"/>
        </w:rPr>
        <w:t>:</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仿宋_GB2312" w:eastAsia="仿宋_GB2312"/>
          <w:b/>
          <w:spacing w:val="7"/>
          <w:w w:val="79"/>
          <w:sz w:val="28"/>
        </w:rPr>
      </w:pPr>
      <w:r>
        <w:rPr>
          <w:rFonts w:hint="eastAsia" w:ascii="仿宋_GB2312" w:eastAsia="仿宋_GB2312"/>
          <w:b/>
          <w:spacing w:val="141"/>
          <w:w w:val="79"/>
          <w:sz w:val="28"/>
        </w:rPr>
        <w:t xml:space="preserve">填 表 </w:t>
      </w:r>
      <w:r>
        <w:rPr>
          <w:rFonts w:hint="eastAsia" w:ascii="仿宋_GB2312" w:eastAsia="仿宋_GB2312"/>
          <w:b/>
          <w:sz w:val="28"/>
          <w:szCs w:val="22"/>
        </w:rPr>
        <w:t>人：</w:t>
      </w:r>
    </w:p>
    <w:p>
      <w:pPr>
        <w:spacing w:line="600" w:lineRule="auto"/>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pStyle w:val="2"/>
        <w:rPr>
          <w:rFonts w:ascii="Times New Roman" w:cs="Times New Roman"/>
          <w:color w:val="auto"/>
          <w:sz w:val="32"/>
          <w:szCs w:val="32"/>
        </w:rPr>
      </w:pPr>
    </w:p>
    <w:p>
      <w:pPr>
        <w:pStyle w:val="2"/>
        <w:rPr>
          <w:rFonts w:hint="eastAsia" w:ascii="Times New Roman" w:eastAsia="宋体_x0006_峩...." w:cs="Times New Roman"/>
          <w:color w:val="auto"/>
          <w:sz w:val="32"/>
          <w:szCs w:val="32"/>
          <w:lang w:eastAsia="zh-CN"/>
        </w:rPr>
      </w:pPr>
    </w:p>
    <w:p>
      <w:pPr>
        <w:pStyle w:val="2"/>
        <w:rPr>
          <w:rFonts w:hint="eastAsia" w:ascii="Times New Roman" w:eastAsia="宋体_x0006_峩...." w:cs="Times New Roman"/>
          <w:color w:val="auto"/>
          <w:sz w:val="32"/>
          <w:szCs w:val="32"/>
          <w:lang w:eastAsia="zh-CN"/>
        </w:rPr>
      </w:pPr>
    </w:p>
    <w:p>
      <w:pPr>
        <w:pStyle w:val="2"/>
        <w:rPr>
          <w:rFonts w:hint="eastAsia" w:ascii="Times New Roman" w:eastAsia="宋体_x0006_峩...." w:cs="Times New Roman"/>
          <w:color w:val="auto"/>
          <w:sz w:val="32"/>
          <w:szCs w:val="32"/>
          <w:lang w:eastAsia="zh-CN"/>
        </w:rPr>
      </w:pPr>
    </w:p>
    <w:p>
      <w:pPr>
        <w:rPr>
          <w:sz w:val="32"/>
          <w:szCs w:val="32"/>
        </w:rPr>
      </w:pPr>
    </w:p>
    <w:tbl>
      <w:tblPr>
        <w:tblStyle w:val="13"/>
        <w:tblW w:w="9860" w:type="dxa"/>
        <w:jc w:val="center"/>
        <w:tblLayout w:type="fixed"/>
        <w:tblCellMar>
          <w:top w:w="0" w:type="dxa"/>
          <w:left w:w="108" w:type="dxa"/>
          <w:bottom w:w="0" w:type="dxa"/>
          <w:right w:w="108" w:type="dxa"/>
        </w:tblCellMar>
      </w:tblPr>
      <w:tblGrid>
        <w:gridCol w:w="4930"/>
        <w:gridCol w:w="4930"/>
      </w:tblGrid>
      <w:tr>
        <w:tblPrEx>
          <w:tblCellMar>
            <w:top w:w="0" w:type="dxa"/>
            <w:left w:w="108" w:type="dxa"/>
            <w:bottom w:w="0" w:type="dxa"/>
            <w:right w:w="108" w:type="dxa"/>
          </w:tblCellMar>
        </w:tblPrEx>
        <w:trPr>
          <w:trHeight w:val="578" w:hRule="atLeast"/>
          <w:jc w:val="center"/>
        </w:trPr>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
                <w:sz w:val="24"/>
                <w:szCs w:val="22"/>
                <w:lang w:eastAsia="zh-CN"/>
              </w:rPr>
            </w:pPr>
            <w:r>
              <w:rPr>
                <w:rFonts w:ascii="仿宋_GB2312" w:eastAsia="仿宋_GB2312"/>
                <w:b/>
                <w:sz w:val="24"/>
                <w:szCs w:val="22"/>
              </w:rPr>
              <w:t>建设单位：</w:t>
            </w:r>
            <w:r>
              <w:rPr>
                <w:rFonts w:hint="eastAsia" w:ascii="仿宋_GB2312" w:eastAsia="仿宋_GB2312"/>
                <w:b/>
                <w:sz w:val="24"/>
                <w:szCs w:val="22"/>
                <w:lang w:eastAsia="zh-CN"/>
              </w:rPr>
              <w:t>菏泽凯瑞投资管理有限公司</w:t>
            </w:r>
          </w:p>
        </w:tc>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
                <w:sz w:val="24"/>
                <w:szCs w:val="22"/>
                <w:lang w:eastAsia="zh-CN"/>
              </w:rPr>
            </w:pPr>
            <w:r>
              <w:rPr>
                <w:rFonts w:hint="eastAsia" w:ascii="仿宋_GB2312" w:eastAsia="仿宋_GB2312"/>
                <w:b/>
                <w:sz w:val="24"/>
                <w:szCs w:val="22"/>
              </w:rPr>
              <w:t>编制</w:t>
            </w:r>
            <w:r>
              <w:rPr>
                <w:rFonts w:ascii="仿宋_GB2312" w:eastAsia="仿宋_GB2312"/>
                <w:b/>
                <w:sz w:val="24"/>
                <w:szCs w:val="22"/>
              </w:rPr>
              <w:t>单位：</w:t>
            </w:r>
            <w:r>
              <w:rPr>
                <w:rFonts w:hint="eastAsia" w:ascii="仿宋_GB2312" w:eastAsia="仿宋_GB2312"/>
                <w:b/>
                <w:sz w:val="24"/>
                <w:szCs w:val="22"/>
                <w:lang w:eastAsia="zh-CN"/>
              </w:rPr>
              <w:t>菏泽凯瑞投资管理有限公司</w:t>
            </w:r>
          </w:p>
        </w:tc>
      </w:tr>
      <w:tr>
        <w:tblPrEx>
          <w:tblCellMar>
            <w:top w:w="0" w:type="dxa"/>
            <w:left w:w="108" w:type="dxa"/>
            <w:bottom w:w="0" w:type="dxa"/>
            <w:right w:w="108" w:type="dxa"/>
          </w:tblCellMar>
        </w:tblPrEx>
        <w:trPr>
          <w:trHeight w:val="578" w:hRule="atLeast"/>
          <w:jc w:val="center"/>
        </w:trPr>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仿宋_GB2312" w:eastAsia="仿宋_GB2312"/>
                <w:b/>
                <w:sz w:val="24"/>
                <w:szCs w:val="22"/>
                <w:lang w:val="en-US"/>
              </w:rPr>
            </w:pPr>
            <w:r>
              <w:rPr>
                <w:rFonts w:ascii="仿宋_GB2312" w:eastAsia="仿宋_GB2312"/>
                <w:b/>
                <w:sz w:val="24"/>
                <w:szCs w:val="22"/>
              </w:rPr>
              <w:t>电话：</w:t>
            </w:r>
          </w:p>
        </w:tc>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仿宋_GB2312" w:eastAsia="仿宋_GB2312"/>
                <w:b/>
                <w:sz w:val="24"/>
                <w:szCs w:val="22"/>
                <w:lang w:val="en-US" w:eastAsia="zh-CN"/>
              </w:rPr>
            </w:pPr>
            <w:r>
              <w:rPr>
                <w:rFonts w:ascii="仿宋_GB2312" w:eastAsia="仿宋_GB2312"/>
                <w:b/>
                <w:sz w:val="24"/>
                <w:szCs w:val="22"/>
              </w:rPr>
              <w:t>电话：</w:t>
            </w:r>
          </w:p>
        </w:tc>
      </w:tr>
      <w:tr>
        <w:tblPrEx>
          <w:tblCellMar>
            <w:top w:w="0" w:type="dxa"/>
            <w:left w:w="108" w:type="dxa"/>
            <w:bottom w:w="0" w:type="dxa"/>
            <w:right w:w="108" w:type="dxa"/>
          </w:tblCellMar>
        </w:tblPrEx>
        <w:trPr>
          <w:trHeight w:val="578" w:hRule="atLeast"/>
          <w:jc w:val="center"/>
        </w:trPr>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仿宋_GB2312" w:eastAsia="仿宋_GB2312"/>
                <w:b/>
                <w:sz w:val="24"/>
                <w:szCs w:val="22"/>
              </w:rPr>
            </w:pPr>
            <w:r>
              <w:rPr>
                <w:rFonts w:hint="eastAsia" w:ascii="仿宋_GB2312" w:eastAsia="仿宋_GB2312"/>
                <w:b/>
                <w:sz w:val="24"/>
                <w:szCs w:val="22"/>
              </w:rPr>
              <w:t>传真：</w:t>
            </w:r>
          </w:p>
        </w:tc>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
                <w:sz w:val="24"/>
                <w:szCs w:val="22"/>
              </w:rPr>
            </w:pPr>
            <w:r>
              <w:rPr>
                <w:rFonts w:hint="eastAsia" w:ascii="仿宋_GB2312" w:eastAsia="仿宋_GB2312"/>
                <w:b/>
                <w:sz w:val="24"/>
                <w:szCs w:val="22"/>
              </w:rPr>
              <w:t>传真：</w:t>
            </w:r>
          </w:p>
        </w:tc>
      </w:tr>
      <w:tr>
        <w:tblPrEx>
          <w:tblCellMar>
            <w:top w:w="0" w:type="dxa"/>
            <w:left w:w="108" w:type="dxa"/>
            <w:bottom w:w="0" w:type="dxa"/>
            <w:right w:w="108" w:type="dxa"/>
          </w:tblCellMar>
        </w:tblPrEx>
        <w:trPr>
          <w:trHeight w:val="578" w:hRule="atLeast"/>
          <w:jc w:val="center"/>
        </w:trPr>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仿宋_GB2312" w:eastAsia="仿宋_GB2312"/>
                <w:b/>
                <w:sz w:val="24"/>
                <w:szCs w:val="22"/>
                <w:lang w:val="en-US" w:eastAsia="zh-CN"/>
              </w:rPr>
            </w:pPr>
            <w:r>
              <w:rPr>
                <w:rFonts w:ascii="仿宋_GB2312" w:eastAsia="仿宋_GB2312"/>
                <w:b/>
                <w:sz w:val="24"/>
                <w:szCs w:val="22"/>
              </w:rPr>
              <w:t>邮编：</w:t>
            </w:r>
            <w:r>
              <w:rPr>
                <w:rFonts w:hint="eastAsia" w:ascii="仿宋_GB2312" w:eastAsia="仿宋_GB2312"/>
                <w:b/>
                <w:sz w:val="24"/>
                <w:szCs w:val="22"/>
                <w:lang w:val="en-US" w:eastAsia="zh-CN"/>
              </w:rPr>
              <w:t>274108</w:t>
            </w:r>
          </w:p>
        </w:tc>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仿宋_GB2312" w:eastAsia="仿宋_GB2312"/>
                <w:b/>
                <w:sz w:val="24"/>
                <w:szCs w:val="22"/>
                <w:lang w:val="en-US"/>
              </w:rPr>
            </w:pPr>
            <w:r>
              <w:rPr>
                <w:rFonts w:ascii="仿宋_GB2312" w:eastAsia="仿宋_GB2312"/>
                <w:b/>
                <w:sz w:val="24"/>
                <w:szCs w:val="22"/>
              </w:rPr>
              <w:t>邮编：</w:t>
            </w:r>
            <w:r>
              <w:rPr>
                <w:rFonts w:hint="eastAsia" w:ascii="仿宋_GB2312" w:eastAsia="仿宋_GB2312"/>
                <w:b/>
                <w:sz w:val="24"/>
                <w:szCs w:val="22"/>
                <w:lang w:val="en-US" w:eastAsia="zh-CN"/>
              </w:rPr>
              <w:t>274108</w:t>
            </w:r>
          </w:p>
        </w:tc>
      </w:tr>
      <w:tr>
        <w:tblPrEx>
          <w:tblCellMar>
            <w:top w:w="0" w:type="dxa"/>
            <w:left w:w="108" w:type="dxa"/>
            <w:bottom w:w="0" w:type="dxa"/>
            <w:right w:w="108" w:type="dxa"/>
          </w:tblCellMar>
        </w:tblPrEx>
        <w:trPr>
          <w:trHeight w:val="909" w:hRule="atLeast"/>
          <w:jc w:val="center"/>
        </w:trPr>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
                <w:sz w:val="24"/>
                <w:szCs w:val="22"/>
                <w:lang w:eastAsia="zh-CN"/>
              </w:rPr>
            </w:pPr>
            <w:r>
              <w:rPr>
                <w:rFonts w:ascii="仿宋_GB2312" w:eastAsia="仿宋_GB2312"/>
                <w:b/>
                <w:sz w:val="24"/>
                <w:szCs w:val="22"/>
              </w:rPr>
              <w:t>地址：</w:t>
            </w:r>
            <w:r>
              <w:rPr>
                <w:rFonts w:hint="eastAsia" w:ascii="仿宋_GB2312" w:eastAsia="仿宋_GB2312"/>
                <w:b/>
                <w:sz w:val="24"/>
                <w:szCs w:val="22"/>
                <w:lang w:eastAsia="zh-CN"/>
              </w:rPr>
              <w:t>山东省菏泽市经济开发区陈集镇焦庄行政村（原盐土窑厂）</w:t>
            </w:r>
          </w:p>
        </w:tc>
        <w:tc>
          <w:tcPr>
            <w:tcW w:w="493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_GB2312" w:eastAsia="仿宋_GB2312"/>
                <w:b/>
                <w:sz w:val="24"/>
                <w:szCs w:val="22"/>
                <w:lang w:eastAsia="zh-CN"/>
              </w:rPr>
            </w:pPr>
            <w:r>
              <w:rPr>
                <w:rFonts w:ascii="仿宋_GB2312" w:eastAsia="仿宋_GB2312"/>
                <w:b/>
                <w:sz w:val="24"/>
                <w:szCs w:val="22"/>
              </w:rPr>
              <w:t>地址：</w:t>
            </w:r>
            <w:r>
              <w:rPr>
                <w:rFonts w:hint="eastAsia" w:ascii="仿宋_GB2312" w:eastAsia="仿宋_GB2312"/>
                <w:b/>
                <w:sz w:val="24"/>
                <w:szCs w:val="22"/>
                <w:lang w:eastAsia="zh-CN"/>
              </w:rPr>
              <w:t>山东省菏泽市经济开发区陈集镇焦庄行政村（原盐土窑厂）</w:t>
            </w:r>
          </w:p>
        </w:tc>
      </w:tr>
    </w:tbl>
    <w:p>
      <w:pPr>
        <w:rPr>
          <w:sz w:val="32"/>
          <w:szCs w:val="32"/>
        </w:rPr>
        <w:sectPr>
          <w:headerReference r:id="rId8" w:type="default"/>
          <w:footerReference r:id="rId9" w:type="default"/>
          <w:pgSz w:w="11906" w:h="16838"/>
          <w:pgMar w:top="1417" w:right="1134" w:bottom="1417" w:left="1417" w:header="851" w:footer="850" w:gutter="0"/>
          <w:pgBorders>
            <w:top w:val="none" w:sz="0" w:space="0"/>
            <w:left w:val="none" w:sz="0" w:space="0"/>
            <w:bottom w:val="none" w:sz="0" w:space="0"/>
            <w:right w:val="none" w:sz="0" w:space="0"/>
          </w:pgBorders>
          <w:pgNumType w:start="1"/>
          <w:cols w:space="720" w:num="1"/>
          <w:docGrid w:type="lines" w:linePitch="312" w:charSpace="0"/>
        </w:sectPr>
      </w:pPr>
      <w:r>
        <w:rPr>
          <w:rFonts w:hint="eastAsia"/>
          <w:sz w:val="32"/>
          <w:szCs w:val="32"/>
        </w:rPr>
        <w:t xml:space="preserve"> </w:t>
      </w:r>
    </w:p>
    <w:p>
      <w:pPr>
        <w:spacing w:after="0" w:line="360" w:lineRule="auto"/>
        <w:rPr>
          <w:rFonts w:eastAsia="仿宋_GB2312"/>
          <w:b/>
          <w:color w:val="000000"/>
          <w:sz w:val="21"/>
          <w:szCs w:val="21"/>
        </w:rPr>
      </w:pPr>
      <w:r>
        <w:rPr>
          <w:rFonts w:hAnsi="Arial" w:eastAsia="仿宋_GB2312"/>
          <w:b/>
          <w:color w:val="000000"/>
          <w:sz w:val="21"/>
          <w:szCs w:val="21"/>
        </w:rPr>
        <w:t>表一</w:t>
      </w:r>
    </w:p>
    <w:tbl>
      <w:tblPr>
        <w:tblStyle w:val="13"/>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2046"/>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建设项目名称</w:t>
            </w:r>
          </w:p>
        </w:tc>
        <w:tc>
          <w:tcPr>
            <w:tcW w:w="6971" w:type="dxa"/>
            <w:gridSpan w:val="5"/>
            <w:noWrap w:val="0"/>
            <w:vAlign w:val="center"/>
          </w:tcPr>
          <w:p>
            <w:pPr>
              <w:spacing w:after="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凯瑞公司年产20万方混凝土项目一期工程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建设单位名称</w:t>
            </w:r>
          </w:p>
        </w:tc>
        <w:tc>
          <w:tcPr>
            <w:tcW w:w="6971" w:type="dxa"/>
            <w:gridSpan w:val="5"/>
            <w:noWrap w:val="0"/>
            <w:vAlign w:val="center"/>
          </w:tcPr>
          <w:p>
            <w:pPr>
              <w:spacing w:after="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菏泽凯瑞投资管理有限公司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建设项目性质</w:t>
            </w:r>
          </w:p>
        </w:tc>
        <w:tc>
          <w:tcPr>
            <w:tcW w:w="6971" w:type="dxa"/>
            <w:gridSpan w:val="5"/>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建设地点</w:t>
            </w:r>
          </w:p>
        </w:tc>
        <w:tc>
          <w:tcPr>
            <w:tcW w:w="6971" w:type="dxa"/>
            <w:gridSpan w:val="5"/>
            <w:noWrap w:val="0"/>
            <w:vAlign w:val="center"/>
          </w:tcPr>
          <w:p>
            <w:pPr>
              <w:spacing w:after="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山东省菏泽市经济开发区陈集镇焦庄行政村（原盐土窑厂）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主要产品名称</w:t>
            </w:r>
          </w:p>
        </w:tc>
        <w:tc>
          <w:tcPr>
            <w:tcW w:w="6971" w:type="dxa"/>
            <w:gridSpan w:val="5"/>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设计生产能力</w:t>
            </w:r>
          </w:p>
        </w:tc>
        <w:tc>
          <w:tcPr>
            <w:tcW w:w="6971" w:type="dxa"/>
            <w:gridSpan w:val="5"/>
            <w:noWrap w:val="0"/>
            <w:vAlign w:val="center"/>
          </w:tcPr>
          <w:p>
            <w:pPr>
              <w:spacing w:after="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年产混凝土2</w:t>
            </w:r>
            <w:r>
              <w:rPr>
                <w:rFonts w:hint="eastAsia"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rPr>
              <w:t>万m</w:t>
            </w:r>
            <w:r>
              <w:rPr>
                <w:rFonts w:hint="eastAsia" w:ascii="Times New Roman" w:hAnsi="Times New Roman" w:eastAsia="宋体" w:cs="Times New Roman"/>
                <w:color w:val="000000"/>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实际生产能力</w:t>
            </w:r>
          </w:p>
        </w:tc>
        <w:tc>
          <w:tcPr>
            <w:tcW w:w="6971" w:type="dxa"/>
            <w:gridSpan w:val="5"/>
            <w:noWrap w:val="0"/>
            <w:vAlign w:val="center"/>
          </w:tcPr>
          <w:p>
            <w:pPr>
              <w:spacing w:after="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年产混凝土</w:t>
            </w:r>
            <w:r>
              <w:rPr>
                <w:rFonts w:hint="eastAsia" w:ascii="Times New Roman" w:hAnsi="Times New Roman" w:eastAsia="宋体" w:cs="Times New Roman"/>
                <w:color w:val="000000"/>
                <w:sz w:val="21"/>
                <w:szCs w:val="21"/>
                <w:lang w:val="en-US" w:eastAsia="zh-CN"/>
              </w:rPr>
              <w:t>12</w:t>
            </w:r>
            <w:r>
              <w:rPr>
                <w:rFonts w:hint="default" w:ascii="Times New Roman" w:hAnsi="Times New Roman" w:eastAsia="宋体" w:cs="Times New Roman"/>
                <w:color w:val="000000"/>
                <w:sz w:val="21"/>
                <w:szCs w:val="21"/>
              </w:rPr>
              <w:t>万m</w:t>
            </w:r>
            <w:r>
              <w:rPr>
                <w:rFonts w:hint="eastAsia"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rPr>
              <w:t>年产</w:t>
            </w:r>
            <w:r>
              <w:rPr>
                <w:rFonts w:hint="eastAsia" w:ascii="Times New Roman" w:hAnsi="Times New Roman" w:eastAsia="宋体" w:cs="Times New Roman"/>
                <w:color w:val="000000"/>
                <w:sz w:val="21"/>
                <w:szCs w:val="21"/>
                <w:lang w:eastAsia="zh-CN"/>
              </w:rPr>
              <w:t>（目前</w:t>
            </w:r>
            <w:r>
              <w:rPr>
                <w:rFonts w:hint="eastAsia" w:ascii="Times New Roman" w:hAnsi="Times New Roman" w:eastAsia="宋体" w:cs="Times New Roman"/>
                <w:sz w:val="21"/>
                <w:szCs w:val="21"/>
                <w:lang w:val="en-US" w:eastAsia="zh-CN"/>
              </w:rPr>
              <w:t>HZS180C8H型生产线已建设完成，HZS240C8H型生产线正</w:t>
            </w:r>
            <w:r>
              <w:rPr>
                <w:rFonts w:hint="eastAsia" w:ascii="Times New Roman" w:hAnsi="Times New Roman" w:eastAsia="宋体" w:cs="Times New Roman"/>
                <w:color w:val="000000"/>
                <w:sz w:val="21"/>
                <w:szCs w:val="21"/>
                <w:lang w:val="en-US" w:eastAsia="zh-CN"/>
              </w:rPr>
              <w:t>在建设，建设完成后，</w:t>
            </w:r>
            <w:r>
              <w:rPr>
                <w:rFonts w:hint="eastAsia" w:ascii="Times New Roman" w:hAnsi="Times New Roman" w:eastAsia="宋体" w:cs="Times New Roman"/>
                <w:sz w:val="21"/>
                <w:szCs w:val="21"/>
                <w:lang w:val="en-US" w:eastAsia="zh-CN"/>
              </w:rPr>
              <w:t>HZS240C8H单独验收</w:t>
            </w:r>
            <w:r>
              <w:rPr>
                <w:rFonts w:hint="eastAsia" w:ascii="Times New Roman" w:hAnsi="Times New Roman" w:eastAsia="宋体" w:cs="Times New Roman"/>
                <w:color w:val="00000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建设项目环评时间</w:t>
            </w:r>
          </w:p>
        </w:tc>
        <w:tc>
          <w:tcPr>
            <w:tcW w:w="2046"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2021.01</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开工建设时间</w:t>
            </w:r>
          </w:p>
        </w:tc>
        <w:tc>
          <w:tcPr>
            <w:tcW w:w="2788" w:type="dxa"/>
            <w:gridSpan w:val="3"/>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调试时间</w:t>
            </w:r>
          </w:p>
        </w:tc>
        <w:tc>
          <w:tcPr>
            <w:tcW w:w="2046"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2021.</w:t>
            </w:r>
            <w:r>
              <w:rPr>
                <w:rFonts w:hint="eastAsia" w:ascii="Times New Roman" w:hAnsi="Times New Roman" w:eastAsia="宋体" w:cs="Times New Roman"/>
                <w:color w:val="000000"/>
                <w:sz w:val="21"/>
                <w:szCs w:val="21"/>
                <w:lang w:val="en-US" w:eastAsia="zh-CN"/>
              </w:rPr>
              <w:t>04</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验收现场监测时间</w:t>
            </w:r>
          </w:p>
        </w:tc>
        <w:tc>
          <w:tcPr>
            <w:tcW w:w="2788" w:type="dxa"/>
            <w:gridSpan w:val="3"/>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2022.05.21--2022.05.22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环评报告表</w:t>
            </w:r>
          </w:p>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审批部门</w:t>
            </w:r>
          </w:p>
        </w:tc>
        <w:tc>
          <w:tcPr>
            <w:tcW w:w="2046" w:type="dxa"/>
            <w:noWrap w:val="0"/>
            <w:vAlign w:val="center"/>
          </w:tcPr>
          <w:p>
            <w:pPr>
              <w:spacing w:after="0"/>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菏泽市行政审批服务局</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环评报告表</w:t>
            </w:r>
          </w:p>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编制单位</w:t>
            </w:r>
          </w:p>
        </w:tc>
        <w:tc>
          <w:tcPr>
            <w:tcW w:w="2788" w:type="dxa"/>
            <w:gridSpan w:val="3"/>
            <w:noWrap w:val="0"/>
            <w:vAlign w:val="center"/>
          </w:tcPr>
          <w:p>
            <w:pPr>
              <w:spacing w:after="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山东华汇达工程技术服务有限公司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环保设施设计单位</w:t>
            </w:r>
          </w:p>
        </w:tc>
        <w:tc>
          <w:tcPr>
            <w:tcW w:w="2046"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环保设施施工单位</w:t>
            </w:r>
          </w:p>
        </w:tc>
        <w:tc>
          <w:tcPr>
            <w:tcW w:w="2788" w:type="dxa"/>
            <w:gridSpan w:val="3"/>
            <w:noWrap w:val="0"/>
            <w:vAlign w:val="center"/>
          </w:tcPr>
          <w:p>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投资总概算</w:t>
            </w:r>
          </w:p>
        </w:tc>
        <w:tc>
          <w:tcPr>
            <w:tcW w:w="2046"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1200</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环保投资总概算</w:t>
            </w:r>
          </w:p>
        </w:tc>
        <w:tc>
          <w:tcPr>
            <w:tcW w:w="988"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12</w:t>
            </w:r>
          </w:p>
        </w:tc>
        <w:tc>
          <w:tcPr>
            <w:tcW w:w="765"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比例</w:t>
            </w:r>
          </w:p>
        </w:tc>
        <w:tc>
          <w:tcPr>
            <w:tcW w:w="1035" w:type="dxa"/>
            <w:noWrap w:val="0"/>
            <w:vAlign w:val="center"/>
          </w:tcPr>
          <w:p>
            <w:pPr>
              <w:spacing w:after="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实际总概算</w:t>
            </w:r>
          </w:p>
        </w:tc>
        <w:tc>
          <w:tcPr>
            <w:tcW w:w="2046"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1200</w:t>
            </w:r>
          </w:p>
        </w:tc>
        <w:tc>
          <w:tcPr>
            <w:tcW w:w="2137"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环保投资</w:t>
            </w:r>
          </w:p>
        </w:tc>
        <w:tc>
          <w:tcPr>
            <w:tcW w:w="988" w:type="dxa"/>
            <w:noWrap w:val="0"/>
            <w:vAlign w:val="center"/>
          </w:tcPr>
          <w:p>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765"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比例</w:t>
            </w:r>
          </w:p>
        </w:tc>
        <w:tc>
          <w:tcPr>
            <w:tcW w:w="1035" w:type="dxa"/>
            <w:noWrap w:val="0"/>
            <w:vAlign w:val="center"/>
          </w:tcPr>
          <w:p>
            <w:pPr>
              <w:spacing w:after="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验收监测依据</w:t>
            </w:r>
          </w:p>
        </w:tc>
        <w:tc>
          <w:tcPr>
            <w:tcW w:w="6971"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rPr>
              <w:t>项目简述: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随着国家相关政策的推动，国外先进理念和先进技术的引进，以及各级政府、生产企业、用户的积极努力，我国混凝土行业稳步发展。混凝土，简称为“砼”，是指由胶凝材料将集料胶结成整体的工程复合材料的统称。通常讲的混凝土是指用水泥、胶凝材料、砂、石作集料，与水（加或不加外加剂和掺合料）按一定比例配合，经搅拌、成型、养护而得的水泥混凝土，也称普通混凝土，它广泛应用于土建工程。混凝土是当代最主要的士建工程材料之一，具有原料丰富，价格低廉，生产工艺简单的特点，因而使其用量越来越大：同时混凝土还具有抗压强度高，耐久性好，强度等级范围宽等特点，使用范围十分广泛，不仅在各种土木工程中使用，就是造船业，机械工业，海洋的开发，地热工程等，混凝土也是重要的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雄商高铁与鲁南高铁并行段工程是关系到鲁南高铁明年底顺利开通的决定性节点。菏泽市召开京雄商高铁与鲁南高铁并行段工程工作部署会议指出施工要求要做的高标准策划、高效率推进、高质量施工，坚决把打造精品工程的要求落到实处。相关县区和部门要进一步提高站位，做好各项协调保障和服务工作，努力为工程建设营造良好环境，确保项目如期完工，早日实现菏泽人民的高铁梦。</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凯瑞公司年产20万方混凝土项目一期工程</w:t>
            </w:r>
            <w:r>
              <w:rPr>
                <w:rFonts w:hint="default" w:ascii="Times New Roman" w:hAnsi="Times New Roman" w:eastAsia="宋体" w:cs="Times New Roman"/>
                <w:sz w:val="21"/>
                <w:szCs w:val="21"/>
              </w:rPr>
              <w:t>是为雄商高铁与鲁南高铁并行段的建设所需的混凝土拌合站，依协议，该站由菏泽凯瑞投资管理有限公司投资建设，项目总投资1200万元，环保投资12万元。</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2022年</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月</w:t>
            </w:r>
            <w:r>
              <w:rPr>
                <w:rFonts w:hint="eastAsia" w:ascii="Times New Roman" w:hAnsi="Times New Roman" w:eastAsia="宋体" w:cs="Times New Roman"/>
                <w:sz w:val="21"/>
                <w:szCs w:val="21"/>
                <w:lang w:eastAsia="zh-CN"/>
              </w:rPr>
              <w:t>菏泽凯瑞投资管理有限公司</w:t>
            </w:r>
            <w:r>
              <w:rPr>
                <w:rFonts w:hint="default" w:ascii="Times New Roman" w:hAnsi="Times New Roman" w:eastAsia="宋体" w:cs="Times New Roman"/>
                <w:color w:val="000000"/>
                <w:sz w:val="21"/>
                <w:szCs w:val="21"/>
                <w:lang w:val="en-US" w:eastAsia="zh-CN"/>
              </w:rPr>
              <w:t>组织本单位技术人员参照《建设项目竣工环境保护验收暂行办法》有关要求，自行开展相关验收调查工作，同时委托</w:t>
            </w:r>
            <w:r>
              <w:rPr>
                <w:rFonts w:hint="eastAsia" w:ascii="Times New Roman" w:hAnsi="Times New Roman" w:eastAsia="宋体" w:cs="Times New Roman"/>
                <w:color w:val="000000"/>
                <w:sz w:val="21"/>
                <w:szCs w:val="21"/>
                <w:lang w:val="en-US" w:eastAsia="zh-CN"/>
              </w:rPr>
              <w:t>山东天衡检测有限公司</w:t>
            </w:r>
            <w:r>
              <w:rPr>
                <w:rFonts w:hint="default" w:ascii="Times New Roman" w:hAnsi="Times New Roman" w:eastAsia="宋体" w:cs="Times New Roman"/>
                <w:color w:val="000000"/>
                <w:sz w:val="21"/>
                <w:szCs w:val="21"/>
                <w:lang w:val="en-US" w:eastAsia="zh-CN"/>
              </w:rPr>
              <w:t>于202</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年</w:t>
            </w:r>
            <w:r>
              <w:rPr>
                <w:rFonts w:hint="eastAsia"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lang w:val="en-US" w:eastAsia="zh-CN"/>
              </w:rPr>
              <w:t>月</w:t>
            </w:r>
            <w:r>
              <w:rPr>
                <w:rFonts w:hint="eastAsia" w:ascii="Times New Roman" w:hAnsi="Times New Roman" w:eastAsia="宋体" w:cs="Times New Roman"/>
                <w:color w:val="000000"/>
                <w:sz w:val="21"/>
                <w:szCs w:val="21"/>
                <w:lang w:val="en-US" w:eastAsia="zh-CN"/>
              </w:rPr>
              <w:t>21</w:t>
            </w:r>
            <w:r>
              <w:rPr>
                <w:rFonts w:hint="default" w:ascii="Times New Roman" w:hAnsi="Times New Roman" w:eastAsia="宋体" w:cs="Times New Roman"/>
                <w:color w:val="000000"/>
                <w:sz w:val="21"/>
                <w:szCs w:val="21"/>
                <w:lang w:val="en-US" w:eastAsia="zh-CN"/>
              </w:rPr>
              <w:t>日至</w:t>
            </w:r>
            <w:r>
              <w:rPr>
                <w:rFonts w:hint="eastAsia"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lang w:val="en-US" w:eastAsia="zh-CN"/>
              </w:rPr>
              <w:t>月</w:t>
            </w:r>
            <w:r>
              <w:rPr>
                <w:rFonts w:hint="eastAsia" w:ascii="Times New Roman" w:hAnsi="Times New Roman" w:eastAsia="宋体" w:cs="Times New Roman"/>
                <w:color w:val="000000"/>
                <w:sz w:val="21"/>
                <w:szCs w:val="21"/>
                <w:lang w:val="en-US" w:eastAsia="zh-CN"/>
              </w:rPr>
              <w:t>22</w:t>
            </w:r>
            <w:r>
              <w:rPr>
                <w:rFonts w:hint="default" w:ascii="Times New Roman" w:hAnsi="Times New Roman" w:eastAsia="宋体" w:cs="Times New Roman"/>
                <w:color w:val="000000"/>
                <w:sz w:val="21"/>
                <w:szCs w:val="21"/>
                <w:lang w:val="en-US" w:eastAsia="zh-CN"/>
              </w:rPr>
              <w:t>日对本项目进行竣工验收检测并出具检测报告。</w:t>
            </w:r>
            <w:r>
              <w:rPr>
                <w:rFonts w:hint="eastAsia" w:ascii="Times New Roman" w:hAnsi="Times New Roman" w:eastAsia="宋体" w:cs="Times New Roman"/>
                <w:sz w:val="21"/>
                <w:szCs w:val="21"/>
                <w:lang w:eastAsia="zh-CN"/>
              </w:rPr>
              <w:t>菏泽凯瑞投资管理有限公司</w:t>
            </w:r>
            <w:r>
              <w:rPr>
                <w:rFonts w:hint="default" w:ascii="Times New Roman" w:hAnsi="Times New Roman" w:eastAsia="宋体" w:cs="Times New Roman"/>
                <w:color w:val="000000"/>
                <w:sz w:val="21"/>
                <w:szCs w:val="21"/>
                <w:lang w:val="en-US" w:eastAsia="zh-CN"/>
              </w:rPr>
              <w:t xml:space="preserve">根据现场调查情况和检测报告结果，并参考《建设项目竣工环境保护验收技术指南 污染影响类》编制完成了本项目竣工环境保护验收监测报告表。 </w:t>
            </w:r>
          </w:p>
          <w:p>
            <w:pPr>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 编制依据</w:t>
            </w:r>
          </w:p>
          <w:p>
            <w:pPr>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 xml:space="preserve">2.1 建设项目环境保护相关法律、法规、规章和规范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1、《中华人民共和国环境保护法》（2015.1.1）；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2、《中华人民共和国大气污染防治法》（2018.10.26修正）；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3、《中华人民共和国水污染防治法》（2018.1.1）；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4、《中华人民共和国固体废物污染环境防治法》（2020 修订）；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5、《中华人民共和国环境噪声污染防治法》（2018.12.29修正）；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6、《中华人民共和国环境影响评价法》（2018.12.29）；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7、《中华人民共和国清洁生产促进法》（2012.7.1）；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8、《中华人民共和国节约能源法》（2016.7.2 修订）；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9、《建设项目环境影响评价分类管理名录》（2021年版）；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10、《建设项目环境保护管理条例》（中华人民共和国国务院令第 682 号，2017 年 9 月 1 日起实施）；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11、《产业结构调整指导目录（2019 年本）》；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 xml:space="preserve">、关于发布《建设项目竣工环境保护验收暂行办法》的公告，国环规环评 [2017]4 号；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 xml:space="preserve">、《国家危险废物名录》2016 年 8 月 1 日起施行；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 xml:space="preserve">、《危险废物转移联单管理办法》(国家环境保护总局令第 5 号，1999.10.1 起施行)。 </w:t>
            </w:r>
          </w:p>
          <w:p>
            <w:pPr>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lang w:val="en-US" w:eastAsia="zh-CN"/>
              </w:rPr>
              <w:t>2.2 建设项目竣工环境保护验收技术规范</w:t>
            </w:r>
            <w:r>
              <w:rPr>
                <w:rFonts w:hint="default" w:ascii="Times New Roman" w:hAnsi="Times New Roman" w:eastAsia="宋体" w:cs="Times New Roman"/>
                <w:color w:val="000000"/>
                <w:sz w:val="21"/>
                <w:szCs w:val="21"/>
                <w:lang w:val="en-US" w:eastAsia="zh-CN"/>
              </w:rPr>
              <w:t xml:space="preserve"> </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《建设项目环境保护验收技术指南 污染影响类》。 </w:t>
            </w:r>
          </w:p>
          <w:p>
            <w:pPr>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bCs/>
                <w:color w:val="000000"/>
                <w:sz w:val="21"/>
                <w:szCs w:val="21"/>
                <w:lang w:val="en-US" w:eastAsia="zh-CN"/>
              </w:rPr>
              <w:t>2.3项目有关文件</w:t>
            </w:r>
          </w:p>
          <w:p>
            <w:pPr>
              <w:keepNext w:val="0"/>
              <w:keepLines w:val="0"/>
              <w:pageBreakBefore w:val="0"/>
              <w:numPr>
                <w:ilvl w:val="0"/>
                <w:numId w:val="1"/>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凯瑞公司年产20万方混凝土项目</w:t>
            </w:r>
            <w:r>
              <w:rPr>
                <w:rFonts w:hint="default" w:ascii="Times New Roman" w:hAnsi="Times New Roman" w:eastAsia="宋体" w:cs="Times New Roman"/>
                <w:color w:val="000000"/>
                <w:sz w:val="21"/>
                <w:szCs w:val="21"/>
                <w:lang w:val="en-US" w:eastAsia="zh-CN"/>
              </w:rPr>
              <w:t>项目环境影响评价报告表》（</w:t>
            </w:r>
            <w:r>
              <w:rPr>
                <w:rFonts w:hint="eastAsia" w:ascii="Times New Roman" w:hAnsi="Times New Roman" w:eastAsia="宋体" w:cs="Times New Roman"/>
                <w:color w:val="000000"/>
                <w:sz w:val="21"/>
                <w:szCs w:val="21"/>
                <w:lang w:eastAsia="zh-CN"/>
              </w:rPr>
              <w:t>山东华汇达工程技术服务有限公司</w:t>
            </w:r>
            <w:r>
              <w:rPr>
                <w:rFonts w:hint="default" w:ascii="Times New Roman" w:hAnsi="Times New Roman" w:eastAsia="宋体" w:cs="Times New Roman"/>
                <w:color w:val="000000"/>
                <w:sz w:val="21"/>
                <w:szCs w:val="21"/>
                <w:lang w:val="en-US" w:eastAsia="zh-CN"/>
              </w:rPr>
              <w:t>，202</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年</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月）；</w:t>
            </w:r>
          </w:p>
          <w:p>
            <w:pPr>
              <w:keepNext w:val="0"/>
              <w:keepLines w:val="0"/>
              <w:pageBreakBefore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凯瑞公司年产20万方混凝土项目一期工程</w:t>
            </w:r>
            <w:r>
              <w:rPr>
                <w:rFonts w:hint="default" w:ascii="Times New Roman" w:hAnsi="Times New Roman" w:eastAsia="宋体" w:cs="Times New Roman"/>
                <w:color w:val="000000"/>
                <w:sz w:val="21"/>
                <w:szCs w:val="21"/>
                <w:lang w:val="en-US" w:eastAsia="zh-CN"/>
              </w:rPr>
              <w:t>检测报告》（</w:t>
            </w:r>
            <w:r>
              <w:rPr>
                <w:rFonts w:hint="eastAsia" w:ascii="Times New Roman" w:hAnsi="Times New Roman" w:eastAsia="宋体" w:cs="Times New Roman"/>
                <w:color w:val="000000"/>
                <w:sz w:val="21"/>
                <w:szCs w:val="21"/>
                <w:lang w:val="en-US" w:eastAsia="zh-CN"/>
              </w:rPr>
              <w:t>山东天衡检测有限公司</w:t>
            </w:r>
            <w:r>
              <w:rPr>
                <w:rFonts w:hint="default" w:ascii="Times New Roman" w:hAnsi="Times New Roman" w:eastAsia="宋体" w:cs="Times New Roman"/>
                <w:color w:val="000000"/>
                <w:sz w:val="21"/>
                <w:szCs w:val="21"/>
                <w:lang w:val="en-US" w:eastAsia="zh-CN"/>
              </w:rPr>
              <w:t>， TH2022-HJ0525004）；</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3、</w:t>
            </w:r>
            <w:r>
              <w:rPr>
                <w:rFonts w:hint="eastAsia" w:ascii="Times New Roman" w:hAnsi="Times New Roman" w:eastAsia="宋体" w:cs="Times New Roman"/>
                <w:color w:val="000000"/>
                <w:sz w:val="21"/>
                <w:szCs w:val="21"/>
                <w:lang w:val="en-US" w:eastAsia="zh-CN"/>
              </w:rPr>
              <w:t>菏泽凯瑞投资管理有限公司</w:t>
            </w:r>
            <w:r>
              <w:rPr>
                <w:rFonts w:hint="default" w:ascii="Times New Roman" w:hAnsi="Times New Roman" w:eastAsia="宋体" w:cs="Times New Roman"/>
                <w:color w:val="000000"/>
                <w:sz w:val="21"/>
                <w:szCs w:val="21"/>
                <w:lang w:val="en-US" w:eastAsia="zh-CN"/>
              </w:rPr>
              <w:t>提供相关资料。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953" w:type="dxa"/>
            <w:noWrap w:val="0"/>
            <w:vAlign w:val="center"/>
          </w:tcPr>
          <w:p>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验收监测评价标准、标号、级别、限值</w:t>
            </w:r>
          </w:p>
        </w:tc>
        <w:tc>
          <w:tcPr>
            <w:tcW w:w="697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建设项目竣工环保验收监测，原则上采用项目环境影响评价时所采用的环境质量标准和污染排放标准，对已修订新颁布的标准采用替代后的新标准加以校核。</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both"/>
              <w:textAlignment w:val="auto"/>
              <w:rPr>
                <w:rFonts w:hint="default"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rPr>
              <w:t>污染排放标准</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（1）废气排放标准</w:t>
            </w:r>
          </w:p>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r>
              <w:rPr>
                <w:rFonts w:hint="eastAsia" w:ascii="Times New Roman" w:hAnsi="Times New Roman" w:eastAsia="宋体" w:cs="Times New Roman"/>
                <w:sz w:val="21"/>
                <w:szCs w:val="21"/>
                <w:lang w:val="en-US" w:eastAsia="zh-CN"/>
              </w:rPr>
              <w:t>无组织</w:t>
            </w:r>
            <w:r>
              <w:rPr>
                <w:rFonts w:hint="default" w:ascii="Times New Roman" w:hAnsi="Times New Roman" w:eastAsia="宋体" w:cs="Times New Roman"/>
                <w:sz w:val="21"/>
                <w:szCs w:val="21"/>
              </w:rPr>
              <w:t>颗粒物排放执行</w:t>
            </w:r>
            <w:r>
              <w:rPr>
                <w:rFonts w:hint="eastAsia" w:ascii="Times New Roman" w:hAnsi="Times New Roman" w:eastAsia="宋体" w:cs="Times New Roman"/>
                <w:sz w:val="21"/>
                <w:szCs w:val="21"/>
                <w:lang w:val="en-US" w:eastAsia="zh-CN"/>
              </w:rPr>
              <w:t>山东省地标</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DB37/2373-2018</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建材工业</w:t>
            </w:r>
            <w:r>
              <w:rPr>
                <w:rFonts w:hint="default" w:ascii="Times New Roman" w:hAnsi="Times New Roman" w:eastAsia="宋体" w:cs="Times New Roman"/>
                <w:sz w:val="21"/>
                <w:szCs w:val="21"/>
              </w:rPr>
              <w:t>大气污染物排放标准》</w:t>
            </w:r>
            <w:r>
              <w:rPr>
                <w:rFonts w:hint="eastAsia" w:ascii="Times New Roman" w:hAnsi="Times New Roman" w:eastAsia="宋体" w:cs="Times New Roman"/>
                <w:sz w:val="21"/>
                <w:szCs w:val="21"/>
                <w:lang w:val="en-US" w:eastAsia="zh-CN"/>
              </w:rPr>
              <w:t>表3</w:t>
            </w:r>
            <w:r>
              <w:rPr>
                <w:rFonts w:hint="default" w:ascii="Times New Roman" w:hAnsi="Times New Roman" w:eastAsia="宋体" w:cs="Times New Roman"/>
                <w:sz w:val="21"/>
                <w:szCs w:val="21"/>
              </w:rPr>
              <w:t>中</w:t>
            </w:r>
            <w:r>
              <w:rPr>
                <w:rFonts w:hint="eastAsia" w:ascii="Times New Roman" w:hAnsi="Times New Roman" w:eastAsia="宋体" w:cs="Times New Roman"/>
                <w:sz w:val="21"/>
                <w:szCs w:val="21"/>
                <w:lang w:val="en-US" w:eastAsia="zh-CN"/>
              </w:rPr>
              <w:t>无组织排放监控点浓度限值要求</w:t>
            </w:r>
            <w:r>
              <w:rPr>
                <w:rFonts w:hint="default" w:ascii="Times New Roman" w:hAnsi="Times New Roman" w:eastAsia="宋体" w:cs="Times New Roman"/>
                <w:sz w:val="21"/>
                <w:szCs w:val="21"/>
              </w:rPr>
              <w:t>，如表</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所示。</w:t>
            </w: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 xml:space="preserve"> 大气污染物排放限值</w:t>
            </w:r>
          </w:p>
          <w:tbl>
            <w:tblPr>
              <w:tblStyle w:val="13"/>
              <w:tblW w:w="6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025"/>
              <w:gridCol w:w="2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10" w:type="pct"/>
                  <w:gridSpan w:val="2"/>
                  <w:tcBorders>
                    <w:bottom w:val="single" w:color="auto" w:sz="12" w:space="0"/>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c>
                <w:tcPr>
                  <w:tcW w:w="1989" w:type="pct"/>
                  <w:tcBorders>
                    <w:bottom w:val="single" w:color="auto" w:sz="12" w:space="0"/>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1525"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48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无组织排放颗粒物</w:t>
                  </w:r>
                </w:p>
              </w:tc>
              <w:tc>
                <w:tcPr>
                  <w:tcW w:w="1989" w:type="pct"/>
                  <w:vMerge w:val="restar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DB37/2373-2018</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建材工业</w:t>
                  </w:r>
                  <w:r>
                    <w:rPr>
                      <w:rFonts w:hint="default" w:ascii="Times New Roman" w:hAnsi="Times New Roman" w:eastAsia="宋体" w:cs="Times New Roman"/>
                      <w:sz w:val="21"/>
                      <w:szCs w:val="21"/>
                    </w:rPr>
                    <w:t>大气污染物排放标准》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2" w:hRule="atLeast"/>
                <w:jc w:val="center"/>
              </w:trPr>
              <w:tc>
                <w:tcPr>
                  <w:tcW w:w="1525" w:type="pct"/>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firstLine="0" w:firstLine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排放浓度（mg/m³）</w:t>
                  </w:r>
                </w:p>
              </w:tc>
              <w:tc>
                <w:tcPr>
                  <w:tcW w:w="1484" w:type="pct"/>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firstLine="0" w:firstLineChars="0"/>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0.5</w:t>
                  </w:r>
                </w:p>
              </w:tc>
              <w:tc>
                <w:tcPr>
                  <w:tcW w:w="19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rPr>
                      <w:rFonts w:hint="default" w:ascii="Times New Roman" w:hAnsi="Times New Roman" w:eastAsia="宋体" w:cs="Times New Roman"/>
                      <w:sz w:val="21"/>
                      <w:szCs w:val="21"/>
                    </w:rPr>
                  </w:pPr>
                </w:p>
              </w:tc>
            </w:tr>
          </w:tbl>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（2）废水排放标准</w:t>
            </w:r>
          </w:p>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本项目生活污水经化粪池处理后，外运堆肥；清洗废水通过砂石分离器+废水回收系统拌匀处理，回用于生产，因此本项目无废水排放。</w:t>
            </w:r>
          </w:p>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（3）噪声排放标准</w:t>
            </w:r>
          </w:p>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运营期噪声执行《工业企业厂界环境噪声排放标准》（GB12348-2008）2类标准限值。</w:t>
            </w:r>
          </w:p>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3.1</w:t>
            </w:r>
            <w:r>
              <w:rPr>
                <w:rFonts w:hint="default" w:ascii="Times New Roman" w:hAnsi="Times New Roman" w:eastAsia="宋体" w:cs="Times New Roman"/>
                <w:b/>
                <w:bCs/>
                <w:sz w:val="21"/>
                <w:szCs w:val="21"/>
              </w:rPr>
              <w:t xml:space="preserve">  《工业企业厂界环境噪声排放标准》（GB12348-2008）</w:t>
            </w:r>
          </w:p>
          <w:tbl>
            <w:tblPr>
              <w:tblStyle w:val="13"/>
              <w:tblW w:w="6839"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78"/>
              <w:gridCol w:w="2462"/>
              <w:gridCol w:w="249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2" w:hRule="atLeast"/>
                <w:jc w:val="center"/>
              </w:trPr>
              <w:tc>
                <w:tcPr>
                  <w:tcW w:w="1373" w:type="pct"/>
                  <w:tcBorders>
                    <w:top w:val="single" w:color="auto" w:sz="12" w:space="0"/>
                    <w:left w:val="nil"/>
                    <w:bottom w:val="single" w:color="auto" w:sz="4" w:space="0"/>
                    <w:right w:val="single" w:color="auto" w:sz="2" w:space="0"/>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bookmarkStart w:id="0" w:name="_Toc37150927"/>
                  <w:bookmarkStart w:id="1" w:name="_Toc323116757"/>
                  <w:bookmarkStart w:id="2" w:name="_Toc37150455"/>
                  <w:r>
                    <w:rPr>
                      <w:rFonts w:hint="default" w:ascii="Times New Roman" w:hAnsi="Times New Roman" w:eastAsia="宋体" w:cs="Times New Roman"/>
                      <w:smallCaps w:val="0"/>
                      <w:sz w:val="21"/>
                      <w:szCs w:val="21"/>
                    </w:rPr>
                    <w:t>类别</w:t>
                  </w:r>
                  <w:bookmarkEnd w:id="0"/>
                  <w:bookmarkEnd w:id="1"/>
                  <w:bookmarkEnd w:id="2"/>
                </w:p>
              </w:tc>
              <w:tc>
                <w:tcPr>
                  <w:tcW w:w="1799" w:type="pct"/>
                  <w:tcBorders>
                    <w:top w:val="single" w:color="auto" w:sz="12" w:space="0"/>
                    <w:left w:val="nil"/>
                    <w:bottom w:val="single" w:color="auto" w:sz="4" w:space="0"/>
                    <w:right w:val="single" w:color="auto" w:sz="2" w:space="0"/>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bookmarkStart w:id="3" w:name="_Toc323116758"/>
                  <w:bookmarkStart w:id="4" w:name="_Toc37150456"/>
                  <w:bookmarkStart w:id="5" w:name="_Toc37150928"/>
                  <w:r>
                    <w:rPr>
                      <w:rFonts w:hint="default" w:ascii="Times New Roman" w:hAnsi="Times New Roman" w:eastAsia="宋体" w:cs="Times New Roman"/>
                      <w:smallCaps w:val="0"/>
                      <w:sz w:val="21"/>
                      <w:szCs w:val="21"/>
                    </w:rPr>
                    <w:t>昼</w:t>
                  </w:r>
                  <w:bookmarkEnd w:id="3"/>
                  <w:r>
                    <w:rPr>
                      <w:rFonts w:hint="default" w:ascii="Times New Roman" w:hAnsi="Times New Roman" w:eastAsia="宋体" w:cs="Times New Roman"/>
                      <w:smallCaps w:val="0"/>
                      <w:sz w:val="21"/>
                      <w:szCs w:val="21"/>
                    </w:rPr>
                    <w:t>间[dB(A)]</w:t>
                  </w:r>
                  <w:bookmarkEnd w:id="4"/>
                  <w:bookmarkEnd w:id="5"/>
                </w:p>
              </w:tc>
              <w:tc>
                <w:tcPr>
                  <w:tcW w:w="1827" w:type="pct"/>
                  <w:tcBorders>
                    <w:top w:val="single" w:color="auto" w:sz="12" w:space="0"/>
                    <w:left w:val="nil"/>
                    <w:bottom w:val="single" w:color="auto" w:sz="4" w:space="0"/>
                    <w:right w:val="nil"/>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bookmarkStart w:id="6" w:name="_Toc323116759"/>
                  <w:bookmarkStart w:id="7" w:name="_Toc37150457"/>
                  <w:bookmarkStart w:id="8" w:name="_Toc37150929"/>
                  <w:r>
                    <w:rPr>
                      <w:rFonts w:hint="default" w:ascii="Times New Roman" w:hAnsi="Times New Roman" w:eastAsia="宋体" w:cs="Times New Roman"/>
                      <w:smallCaps w:val="0"/>
                      <w:sz w:val="21"/>
                      <w:szCs w:val="21"/>
                    </w:rPr>
                    <w:t>夜</w:t>
                  </w:r>
                  <w:bookmarkEnd w:id="6"/>
                  <w:r>
                    <w:rPr>
                      <w:rFonts w:hint="default" w:ascii="Times New Roman" w:hAnsi="Times New Roman" w:eastAsia="宋体" w:cs="Times New Roman"/>
                      <w:smallCaps w:val="0"/>
                      <w:sz w:val="21"/>
                      <w:szCs w:val="21"/>
                    </w:rPr>
                    <w:t>间[dB(A)]</w:t>
                  </w:r>
                  <w:bookmarkEnd w:id="7"/>
                  <w:bookmarkEnd w:id="8"/>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8" w:hRule="atLeast"/>
                <w:jc w:val="center"/>
              </w:trPr>
              <w:tc>
                <w:tcPr>
                  <w:tcW w:w="1373" w:type="pct"/>
                  <w:tcBorders>
                    <w:top w:val="single" w:color="auto" w:sz="4" w:space="0"/>
                    <w:left w:val="nil"/>
                    <w:bottom w:val="single" w:color="auto" w:sz="12" w:space="0"/>
                    <w:right w:val="single" w:color="auto" w:sz="2" w:space="0"/>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r>
                    <w:rPr>
                      <w:rFonts w:hint="default" w:ascii="Times New Roman" w:hAnsi="Times New Roman" w:eastAsia="宋体" w:cs="Times New Roman"/>
                      <w:smallCaps w:val="0"/>
                      <w:sz w:val="21"/>
                      <w:szCs w:val="21"/>
                    </w:rPr>
                    <w:t>2</w:t>
                  </w:r>
                </w:p>
              </w:tc>
              <w:tc>
                <w:tcPr>
                  <w:tcW w:w="1799" w:type="pct"/>
                  <w:tcBorders>
                    <w:top w:val="single" w:color="auto" w:sz="4" w:space="0"/>
                    <w:left w:val="nil"/>
                    <w:bottom w:val="single" w:color="auto" w:sz="12" w:space="0"/>
                    <w:right w:val="single" w:color="auto" w:sz="2" w:space="0"/>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r>
                    <w:rPr>
                      <w:rFonts w:hint="default" w:ascii="Times New Roman" w:hAnsi="Times New Roman" w:eastAsia="宋体" w:cs="Times New Roman"/>
                      <w:smallCaps w:val="0"/>
                      <w:sz w:val="21"/>
                      <w:szCs w:val="21"/>
                    </w:rPr>
                    <w:t>60</w:t>
                  </w:r>
                </w:p>
              </w:tc>
              <w:tc>
                <w:tcPr>
                  <w:tcW w:w="1827" w:type="pct"/>
                  <w:tcBorders>
                    <w:top w:val="single" w:color="auto" w:sz="4" w:space="0"/>
                    <w:left w:val="nil"/>
                    <w:bottom w:val="single" w:color="auto" w:sz="12" w:space="0"/>
                    <w:right w:val="nil"/>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mallCaps w:val="0"/>
                      <w:sz w:val="21"/>
                      <w:szCs w:val="21"/>
                    </w:rPr>
                  </w:pPr>
                  <w:r>
                    <w:rPr>
                      <w:rFonts w:hint="default" w:ascii="Times New Roman" w:hAnsi="Times New Roman" w:eastAsia="宋体" w:cs="Times New Roman"/>
                      <w:smallCaps w:val="0"/>
                      <w:sz w:val="21"/>
                      <w:szCs w:val="21"/>
                    </w:rPr>
                    <w:t>55</w:t>
                  </w:r>
                </w:p>
              </w:tc>
            </w:tr>
          </w:tbl>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（4）固废排放标准</w:t>
            </w:r>
          </w:p>
          <w:p>
            <w:pPr>
              <w:pStyle w:val="11"/>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一般固体废物执行《一般工业固体废物贮存和填埋污染控制标准(GB18599-2020)》标准。</w:t>
            </w:r>
          </w:p>
        </w:tc>
      </w:tr>
    </w:tbl>
    <w:p>
      <w:pPr>
        <w:spacing w:after="0" w:line="360" w:lineRule="auto"/>
        <w:rPr>
          <w:rFonts w:hint="eastAsia" w:eastAsia="仿宋_GB2312"/>
          <w:b/>
          <w:color w:val="000000"/>
          <w:sz w:val="21"/>
          <w:szCs w:val="21"/>
        </w:rPr>
      </w:pPr>
      <w:r>
        <w:rPr>
          <w:rFonts w:eastAsia="仿宋_GB2312"/>
          <w:color w:val="000000"/>
          <w:sz w:val="21"/>
          <w:szCs w:val="21"/>
        </w:rPr>
        <w:br w:type="page"/>
      </w:r>
      <w:r>
        <w:rPr>
          <w:rFonts w:eastAsia="仿宋_GB2312"/>
          <w:b/>
          <w:color w:val="000000"/>
          <w:sz w:val="21"/>
          <w:szCs w:val="21"/>
        </w:rPr>
        <w:t>表二</w:t>
      </w:r>
    </w:p>
    <w:tbl>
      <w:tblPr>
        <w:tblStyle w:val="13"/>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5"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pPr>
            <w:r>
              <w:rPr>
                <w:rFonts w:hint="eastAsia"/>
              </w:rPr>
              <w:t>工程建设内容：</w:t>
            </w:r>
            <w: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left="0" w:firstLine="422"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w:t>
            </w:r>
            <w:r>
              <w:rPr>
                <w:rFonts w:hint="eastAsia"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地理位置</w:t>
            </w:r>
          </w:p>
          <w:p>
            <w:pPr>
              <w:keepNext w:val="0"/>
              <w:keepLines w:val="0"/>
              <w:pageBreakBefore w:val="0"/>
              <w:kinsoku/>
              <w:wordWrap/>
              <w:overflowPunct/>
              <w:topLinePunct w:val="0"/>
              <w:autoSpaceDE/>
              <w:autoSpaceDN/>
              <w:bidi w:val="0"/>
              <w:spacing w:after="0" w:line="360" w:lineRule="auto"/>
              <w:ind w:left="0"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菏泽</w:t>
            </w:r>
            <w:r>
              <w:rPr>
                <w:rFonts w:hint="eastAsia" w:ascii="Times New Roman" w:hAnsi="Times New Roman" w:eastAsia="宋体" w:cs="Times New Roman"/>
                <w:sz w:val="21"/>
                <w:szCs w:val="21"/>
                <w:lang w:val="en-US" w:eastAsia="zh-CN"/>
              </w:rPr>
              <w:t>市</w:t>
            </w:r>
            <w:r>
              <w:rPr>
                <w:rFonts w:hint="default" w:ascii="Times New Roman" w:hAnsi="Times New Roman" w:eastAsia="宋体" w:cs="Times New Roman"/>
                <w:sz w:val="21"/>
                <w:szCs w:val="21"/>
              </w:rPr>
              <w:t>经济开发区（以下简称“菏泽开发区”）地处鲁苏豫皖四省交界地区区域性中心城市、沿陇海发展主轴重要节点城市菏泽市的东部，和城区相连，西以赵王河中心线为界与牡丹区东城、南城、何楼街道毗邻，北与牡丹区牡丹街道、皇镇乡接壤，东与定陶区半堤乡为邻，南与定陶区杜堂镇、仿山镇搭界。地理位置优越，区位特殊，交通便捷。本项目位于菏泽市开发区陈集镇焦庄行政村（原盐土窑厂）</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厂址中心坐标为：东经115 度</w:t>
            </w: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rPr>
              <w:t>分</w:t>
            </w:r>
            <w:r>
              <w:rPr>
                <w:rFonts w:hint="eastAsia" w:ascii="Times New Roman" w:hAnsi="Times New Roman" w:eastAsia="宋体" w:cs="Times New Roman"/>
                <w:sz w:val="21"/>
                <w:szCs w:val="21"/>
                <w:lang w:val="en-US" w:eastAsia="zh-CN"/>
              </w:rPr>
              <w:t>36</w:t>
            </w:r>
            <w:r>
              <w:rPr>
                <w:rFonts w:hint="default" w:ascii="Times New Roman" w:hAnsi="Times New Roman" w:eastAsia="宋体" w:cs="Times New Roman"/>
                <w:sz w:val="21"/>
                <w:szCs w:val="21"/>
              </w:rPr>
              <w:t>秒，北纬35度</w:t>
            </w: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rPr>
              <w:t>分</w:t>
            </w:r>
            <w:r>
              <w:rPr>
                <w:rFonts w:hint="eastAsia" w:ascii="Times New Roman" w:hAnsi="Times New Roman" w:eastAsia="宋体" w:cs="Times New Roman"/>
                <w:sz w:val="21"/>
                <w:szCs w:val="21"/>
                <w:lang w:val="en-US" w:eastAsia="zh-CN"/>
              </w:rPr>
              <w:t>58</w:t>
            </w:r>
            <w:r>
              <w:rPr>
                <w:rFonts w:hint="default" w:ascii="Times New Roman" w:hAnsi="Times New Roman" w:eastAsia="宋体" w:cs="Times New Roman"/>
                <w:sz w:val="21"/>
                <w:szCs w:val="21"/>
              </w:rPr>
              <w:t>秒。</w:t>
            </w:r>
          </w:p>
          <w:p>
            <w:pPr>
              <w:keepNext w:val="0"/>
              <w:keepLines w:val="0"/>
              <w:pageBreakBefore w:val="0"/>
              <w:kinsoku/>
              <w:wordWrap/>
              <w:overflowPunct/>
              <w:topLinePunct w:val="0"/>
              <w:autoSpaceDE/>
              <w:autoSpaceDN/>
              <w:bidi w:val="0"/>
              <w:spacing w:after="0" w:line="360" w:lineRule="auto"/>
              <w:ind w:lef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项目建设地点与环评阶段一致，未发生建设地点变更。</w:t>
            </w:r>
          </w:p>
          <w:p>
            <w:pPr>
              <w:pStyle w:val="11"/>
              <w:keepNext w:val="0"/>
              <w:keepLines w:val="0"/>
              <w:pageBreakBefore w:val="0"/>
              <w:kinsoku/>
              <w:wordWrap/>
              <w:overflowPunct/>
              <w:topLinePunct w:val="0"/>
              <w:autoSpaceDE/>
              <w:autoSpaceDN/>
              <w:bidi w:val="0"/>
              <w:spacing w:after="0" w:line="360" w:lineRule="auto"/>
              <w:ind w:lef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项目地理位置见附图1。</w:t>
            </w:r>
          </w:p>
          <w:p>
            <w:pPr>
              <w:keepNext w:val="0"/>
              <w:keepLines w:val="0"/>
              <w:pageBreakBefore w:val="0"/>
              <w:kinsoku/>
              <w:wordWrap/>
              <w:overflowPunct/>
              <w:topLinePunct w:val="0"/>
              <w:autoSpaceDE/>
              <w:autoSpaceDN/>
              <w:bidi w:val="0"/>
              <w:spacing w:after="0" w:line="360" w:lineRule="auto"/>
              <w:ind w:firstLine="422" w:firstLineChars="200"/>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环境敏感目标</w:t>
            </w:r>
          </w:p>
          <w:p>
            <w:pPr>
              <w:keepNext w:val="0"/>
              <w:keepLines w:val="0"/>
              <w:pageBreakBefore w:val="0"/>
              <w:widowControl w:val="0"/>
              <w:kinsoku/>
              <w:wordWrap/>
              <w:overflowPunct/>
              <w:topLinePunct w:val="0"/>
              <w:autoSpaceDE/>
              <w:autoSpaceDN/>
              <w:bidi w:val="0"/>
              <w:adjustRightInd/>
              <w:snapToGrid/>
              <w:spacing w:after="0" w:line="360" w:lineRule="auto"/>
              <w:ind w:left="0" w:firstLine="420" w:firstLineChars="2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rPr>
              <w:t>经现场调查核实，项目敏感目标与环评阶段一致。</w:t>
            </w:r>
          </w:p>
          <w:p>
            <w:pPr>
              <w:keepNext w:val="0"/>
              <w:keepLines w:val="0"/>
              <w:pageBreakBefore w:val="0"/>
              <w:widowControl w:val="0"/>
              <w:kinsoku/>
              <w:wordWrap/>
              <w:overflowPunct/>
              <w:topLinePunct w:val="0"/>
              <w:autoSpaceDE/>
              <w:autoSpaceDN/>
              <w:bidi w:val="0"/>
              <w:adjustRightInd/>
              <w:snapToGrid/>
              <w:spacing w:after="0" w:line="360" w:lineRule="auto"/>
              <w:ind w:left="0" w:firstLine="422" w:firstLineChars="200"/>
              <w:jc w:val="both"/>
              <w:textAlignment w:val="auto"/>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eastAsia="zh-CN"/>
              </w:rPr>
              <w:t>项目</w:t>
            </w:r>
            <w:r>
              <w:rPr>
                <w:rFonts w:hint="default" w:ascii="Times New Roman" w:hAnsi="Times New Roman" w:eastAsia="宋体" w:cs="Times New Roman"/>
                <w:b/>
                <w:bCs/>
                <w:sz w:val="21"/>
                <w:szCs w:val="21"/>
              </w:rPr>
              <w:t>建设</w:t>
            </w:r>
            <w:r>
              <w:rPr>
                <w:rFonts w:hint="default" w:ascii="Times New Roman" w:hAnsi="Times New Roman" w:eastAsia="宋体" w:cs="Times New Roman"/>
                <w:b/>
                <w:bCs/>
                <w:sz w:val="21"/>
                <w:szCs w:val="21"/>
                <w:lang w:eastAsia="zh-CN"/>
              </w:rPr>
              <w:t>情况</w:t>
            </w:r>
          </w:p>
          <w:p>
            <w:pPr>
              <w:keepNext w:val="0"/>
              <w:keepLines w:val="0"/>
              <w:pageBreakBefore w:val="0"/>
              <w:widowControl w:val="0"/>
              <w:kinsoku/>
              <w:wordWrap/>
              <w:overflowPunct/>
              <w:topLinePunct w:val="0"/>
              <w:autoSpaceDE/>
              <w:autoSpaceDN/>
              <w:bidi w:val="0"/>
              <w:adjustRightInd/>
              <w:snapToGrid/>
              <w:spacing w:after="0" w:line="360" w:lineRule="auto"/>
              <w:ind w:left="0" w:firstLine="422" w:firstLineChars="200"/>
              <w:jc w:val="both"/>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.1主体工程建设情况</w:t>
            </w:r>
          </w:p>
          <w:p>
            <w:pPr>
              <w:keepNext w:val="0"/>
              <w:keepLines w:val="0"/>
              <w:pageBreakBefore w:val="0"/>
              <w:widowControl w:val="0"/>
              <w:kinsoku/>
              <w:wordWrap/>
              <w:overflowPunct/>
              <w:topLinePunct w:val="0"/>
              <w:autoSpaceDE/>
              <w:autoSpaceDN/>
              <w:bidi w:val="0"/>
              <w:adjustRightInd/>
              <w:snapToGrid/>
              <w:spacing w:after="0" w:line="360" w:lineRule="auto"/>
              <w:ind w:lef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主要建设混凝土</w:t>
            </w:r>
            <w:r>
              <w:rPr>
                <w:rFonts w:hint="default" w:ascii="Times New Roman" w:hAnsi="Times New Roman" w:eastAsia="宋体" w:cs="Times New Roman"/>
                <w:kern w:val="0"/>
                <w:sz w:val="21"/>
                <w:szCs w:val="21"/>
              </w:rPr>
              <w:t>生产车间、</w:t>
            </w:r>
            <w:r>
              <w:rPr>
                <w:rFonts w:hint="eastAsia" w:ascii="Times New Roman" w:hAnsi="Times New Roman" w:eastAsia="宋体" w:cs="Times New Roman"/>
                <w:kern w:val="0"/>
                <w:sz w:val="21"/>
                <w:szCs w:val="21"/>
                <w:lang w:val="en-US" w:eastAsia="zh-CN"/>
              </w:rPr>
              <w:t>原料仓库、物料</w:t>
            </w:r>
            <w:r>
              <w:rPr>
                <w:rFonts w:hint="default" w:ascii="Times New Roman" w:hAnsi="Times New Roman" w:eastAsia="宋体" w:cs="Times New Roman"/>
                <w:kern w:val="0"/>
                <w:sz w:val="21"/>
                <w:szCs w:val="21"/>
              </w:rPr>
              <w:t>筒仓、</w:t>
            </w:r>
            <w:r>
              <w:rPr>
                <w:rFonts w:hint="eastAsia" w:ascii="Times New Roman" w:hAnsi="Times New Roman" w:eastAsia="宋体" w:cs="Times New Roman"/>
                <w:kern w:val="0"/>
                <w:sz w:val="21"/>
                <w:szCs w:val="21"/>
                <w:lang w:val="en-US" w:eastAsia="zh-CN"/>
              </w:rPr>
              <w:t>化验室</w:t>
            </w:r>
            <w:r>
              <w:rPr>
                <w:rFonts w:hint="default" w:ascii="Times New Roman" w:hAnsi="Times New Roman" w:eastAsia="宋体" w:cs="Times New Roman"/>
                <w:kern w:val="0"/>
                <w:sz w:val="21"/>
                <w:szCs w:val="21"/>
              </w:rPr>
              <w:t>和办公室。</w:t>
            </w:r>
          </w:p>
          <w:p>
            <w:pPr>
              <w:keepNext w:val="0"/>
              <w:keepLines w:val="0"/>
              <w:pageBreakBefore w:val="0"/>
              <w:widowControl w:val="0"/>
              <w:kinsoku/>
              <w:wordWrap/>
              <w:overflowPunct/>
              <w:topLinePunct w:val="0"/>
              <w:autoSpaceDE/>
              <w:autoSpaceDN/>
              <w:bidi w:val="0"/>
              <w:adjustRightInd/>
              <w:snapToGrid/>
              <w:spacing w:after="0" w:line="360" w:lineRule="auto"/>
              <w:ind w:left="0" w:firstLine="420" w:firstLineChars="20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lang w:eastAsia="zh-CN"/>
              </w:rPr>
              <w:t>建设</w:t>
            </w:r>
            <w:r>
              <w:rPr>
                <w:rFonts w:hint="default" w:ascii="Times New Roman" w:hAnsi="Times New Roman" w:eastAsia="宋体" w:cs="Times New Roman"/>
                <w:b w:val="0"/>
                <w:bCs w:val="0"/>
                <w:sz w:val="21"/>
                <w:szCs w:val="21"/>
              </w:rPr>
              <w:t>规模</w:t>
            </w:r>
            <w:r>
              <w:rPr>
                <w:rFonts w:hint="default"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eastAsia="zh-CN"/>
              </w:rPr>
              <w:t>设计</w:t>
            </w:r>
            <w:r>
              <w:rPr>
                <w:rFonts w:hint="default" w:ascii="Times New Roman" w:hAnsi="Times New Roman" w:eastAsia="宋体" w:cs="Times New Roman"/>
                <w:kern w:val="0"/>
                <w:sz w:val="21"/>
                <w:szCs w:val="21"/>
              </w:rPr>
              <w:t>年产混凝土2</w:t>
            </w:r>
            <w:r>
              <w:rPr>
                <w:rFonts w:hint="eastAsia" w:ascii="Times New Roman" w:hAnsi="Times New Roman" w:eastAsia="宋体" w:cs="Times New Roman"/>
                <w:kern w:val="0"/>
                <w:sz w:val="21"/>
                <w:szCs w:val="21"/>
                <w:lang w:val="en-US" w:eastAsia="zh-CN"/>
              </w:rPr>
              <w:t>0</w:t>
            </w:r>
            <w:r>
              <w:rPr>
                <w:rFonts w:hint="default" w:ascii="Times New Roman" w:hAnsi="Times New Roman" w:eastAsia="宋体" w:cs="Times New Roman"/>
                <w:kern w:val="0"/>
                <w:sz w:val="21"/>
                <w:szCs w:val="21"/>
              </w:rPr>
              <w:t>万m</w:t>
            </w:r>
            <w:r>
              <w:rPr>
                <w:rFonts w:hint="eastAsia" w:ascii="Times New Roman" w:hAnsi="Times New Roman" w:eastAsia="宋体" w:cs="Times New Roman"/>
                <w:kern w:val="0"/>
                <w:sz w:val="21"/>
                <w:szCs w:val="21"/>
                <w:vertAlign w:val="superscript"/>
                <w:lang w:val="en-US" w:eastAsia="zh-CN"/>
              </w:rPr>
              <w:t>2</w:t>
            </w:r>
            <w:r>
              <w:rPr>
                <w:rFonts w:hint="eastAsia" w:ascii="Times New Roman" w:hAnsi="Times New Roman" w:eastAsia="宋体" w:cs="Times New Roman"/>
                <w:kern w:val="0"/>
                <w:sz w:val="21"/>
                <w:szCs w:val="21"/>
                <w:lang w:eastAsia="zh-CN"/>
              </w:rPr>
              <w:t>，实际</w:t>
            </w:r>
            <w:r>
              <w:rPr>
                <w:rFonts w:hint="default" w:ascii="Times New Roman" w:hAnsi="Times New Roman" w:eastAsia="宋体" w:cs="Times New Roman"/>
                <w:color w:val="000000"/>
                <w:sz w:val="21"/>
                <w:szCs w:val="21"/>
              </w:rPr>
              <w:t>年产混凝土</w:t>
            </w:r>
            <w:r>
              <w:rPr>
                <w:rFonts w:hint="eastAsia" w:ascii="Times New Roman" w:hAnsi="Times New Roman" w:eastAsia="宋体" w:cs="Times New Roman"/>
                <w:color w:val="000000"/>
                <w:sz w:val="21"/>
                <w:szCs w:val="21"/>
                <w:lang w:val="en-US" w:eastAsia="zh-CN"/>
              </w:rPr>
              <w:t>12</w:t>
            </w:r>
            <w:r>
              <w:rPr>
                <w:rFonts w:hint="default" w:ascii="Times New Roman" w:hAnsi="Times New Roman" w:eastAsia="宋体" w:cs="Times New Roman"/>
                <w:color w:val="000000"/>
                <w:sz w:val="21"/>
                <w:szCs w:val="21"/>
              </w:rPr>
              <w:t>万m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eastAsia="zh-CN"/>
              </w:rPr>
              <w:t>（目前</w:t>
            </w:r>
            <w:r>
              <w:rPr>
                <w:rFonts w:hint="eastAsia" w:ascii="Times New Roman" w:hAnsi="Times New Roman" w:eastAsia="宋体" w:cs="Times New Roman"/>
                <w:sz w:val="21"/>
                <w:szCs w:val="21"/>
                <w:lang w:val="en-US" w:eastAsia="zh-CN"/>
              </w:rPr>
              <w:t>HZS180C8H型生产线已建设完成，HZS240C8H型生产线正</w:t>
            </w:r>
            <w:r>
              <w:rPr>
                <w:rFonts w:hint="eastAsia" w:ascii="Times New Roman" w:hAnsi="Times New Roman" w:eastAsia="宋体" w:cs="Times New Roman"/>
                <w:color w:val="000000"/>
                <w:sz w:val="21"/>
                <w:szCs w:val="21"/>
                <w:lang w:val="en-US" w:eastAsia="zh-CN"/>
              </w:rPr>
              <w:t>在建设，建设完成后，</w:t>
            </w:r>
            <w:r>
              <w:rPr>
                <w:rFonts w:hint="eastAsia" w:ascii="Times New Roman" w:hAnsi="Times New Roman" w:eastAsia="宋体" w:cs="Times New Roman"/>
                <w:sz w:val="21"/>
                <w:szCs w:val="21"/>
                <w:lang w:val="en-US" w:eastAsia="zh-CN"/>
              </w:rPr>
              <w:t>HZS240C8H单独验收</w:t>
            </w:r>
            <w:r>
              <w:rPr>
                <w:rFonts w:hint="eastAsia" w:ascii="Times New Roman" w:hAnsi="Times New Roman" w:eastAsia="宋体" w:cs="Times New Roman"/>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firstLine="422" w:firstLineChars="200"/>
              <w:jc w:val="both"/>
              <w:textAlignment w:val="auto"/>
              <w:rPr>
                <w:rFonts w:hint="default" w:ascii="Times New Roman" w:hAnsi="Times New Roman" w:eastAsia="宋体" w:cs="Times New Roman"/>
                <w:bCs/>
                <w:sz w:val="21"/>
                <w:szCs w:val="21"/>
              </w:rPr>
            </w:pP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项目建设情况对比分析</w:t>
            </w:r>
          </w:p>
          <w:p>
            <w:pPr>
              <w:pStyle w:val="3"/>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2.1</w:t>
            </w:r>
            <w:r>
              <w:rPr>
                <w:rFonts w:hint="default" w:ascii="Times New Roman" w:hAnsi="Times New Roman" w:eastAsia="宋体" w:cs="Times New Roman"/>
                <w:b/>
                <w:bCs/>
                <w:sz w:val="21"/>
                <w:szCs w:val="21"/>
              </w:rPr>
              <w:t xml:space="preserve">  项目建设内容及规模对比一览表</w:t>
            </w:r>
          </w:p>
          <w:tbl>
            <w:tblPr>
              <w:tblStyle w:val="13"/>
              <w:tblW w:w="8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
              <w:gridCol w:w="516"/>
              <w:gridCol w:w="1486"/>
              <w:gridCol w:w="2048"/>
              <w:gridCol w:w="2049"/>
              <w:gridCol w:w="2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18" w:hRule="atLeast"/>
                <w:jc w:val="center"/>
              </w:trPr>
              <w:tc>
                <w:tcPr>
                  <w:tcW w:w="200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000000"/>
                      <w:kern w:val="0"/>
                      <w:sz w:val="21"/>
                      <w:szCs w:val="21"/>
                      <w:lang w:val="en-US" w:eastAsia="zh-CN" w:bidi="ar"/>
                    </w:rPr>
                    <w:t>工程类别</w:t>
                  </w:r>
                </w:p>
              </w:tc>
              <w:tc>
                <w:tcPr>
                  <w:tcW w:w="4097" w:type="dxa"/>
                  <w:gridSpan w:val="2"/>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kern w:val="0"/>
                      <w:sz w:val="21"/>
                      <w:szCs w:val="21"/>
                    </w:rPr>
                    <w:t>环评阶段建设内容及规模</w:t>
                  </w:r>
                </w:p>
              </w:tc>
              <w:tc>
                <w:tcPr>
                  <w:tcW w:w="2757" w:type="dxa"/>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428" w:hRule="atLeast"/>
                <w:jc w:val="center"/>
              </w:trPr>
              <w:tc>
                <w:tcPr>
                  <w:tcW w:w="516" w:type="dxa"/>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主体工程</w:t>
                  </w: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混凝土</w:t>
                  </w:r>
                  <w:r>
                    <w:rPr>
                      <w:rFonts w:hint="eastAsia" w:ascii="Times New Roman" w:hAnsi="Times New Roman" w:eastAsia="宋体" w:cs="Times New Roman"/>
                      <w:sz w:val="21"/>
                      <w:szCs w:val="21"/>
                      <w:lang w:val="en-US" w:eastAsia="zh-CN"/>
                    </w:rPr>
                    <w:t>生产车间</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sz w:val="21"/>
                      <w:szCs w:val="21"/>
                      <w:lang w:val="en-US" w:eastAsia="zh-CN"/>
                    </w:rPr>
                    <w:t>占地面积1700m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生产车间全封闭，建设3条商品混凝土生产线</w:t>
                  </w:r>
                  <w:r>
                    <w:rPr>
                      <w:rFonts w:hint="default" w:ascii="Times New Roman" w:hAnsi="Times New Roman" w:eastAsia="宋体" w:cs="Times New Roman"/>
                      <w:sz w:val="21"/>
                      <w:szCs w:val="21"/>
                    </w:rPr>
                    <w:t>。</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lang w:val="en-US"/>
                    </w:rPr>
                  </w:pPr>
                  <w:r>
                    <w:rPr>
                      <w:rFonts w:hint="eastAsia" w:ascii="Times New Roman" w:hAnsi="Times New Roman" w:eastAsia="宋体" w:cs="Times New Roman"/>
                      <w:sz w:val="21"/>
                      <w:szCs w:val="21"/>
                      <w:lang w:val="en-US" w:eastAsia="zh-CN"/>
                    </w:rPr>
                    <w:t>生产车间全封闭，目前已建设完成2条商品混凝土生产线，另外1条商品混凝土生产线正在建设。</w:t>
                  </w:r>
                  <w:r>
                    <w:rPr>
                      <w:rFonts w:hint="default" w:ascii="Times New Roman" w:hAnsi="Times New Roman" w:eastAsia="宋体" w:cs="Times New Roman"/>
                      <w:sz w:val="21"/>
                      <w:szCs w:val="21"/>
                    </w:rPr>
                    <w:t>与环评</w:t>
                  </w:r>
                  <w:r>
                    <w:rPr>
                      <w:rFonts w:hint="eastAsia"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159" w:hRule="atLeast"/>
                <w:jc w:val="center"/>
              </w:trPr>
              <w:tc>
                <w:tcPr>
                  <w:tcW w:w="516" w:type="dxa"/>
                  <w:vMerge w:val="restart"/>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原料仓库</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建筑面积5500m2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全封闭，用于存放石子、砂子。</w:t>
                  </w:r>
                </w:p>
              </w:tc>
              <w:tc>
                <w:tcPr>
                  <w:tcW w:w="2757"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539" w:hRule="atLeast"/>
                <w:jc w:val="center"/>
              </w:trPr>
              <w:tc>
                <w:tcPr>
                  <w:tcW w:w="516"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物料筒仓</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水泥料仓、矿粉仓、粉煤灰仓等12哥 ，筒仓全封闭。</w:t>
                  </w:r>
                </w:p>
              </w:tc>
              <w:tc>
                <w:tcPr>
                  <w:tcW w:w="2757"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物料筒仓目前已建设完成2条商品混凝土生产线，另外1条商品混凝土生产线正在建设。</w:t>
                  </w:r>
                  <w:r>
                    <w:rPr>
                      <w:rFonts w:hint="default" w:ascii="Times New Roman" w:hAnsi="Times New Roman" w:eastAsia="宋体" w:cs="Times New Roman"/>
                      <w:sz w:val="21"/>
                      <w:szCs w:val="21"/>
                    </w:rPr>
                    <w:t>与环评</w:t>
                  </w:r>
                  <w:r>
                    <w:rPr>
                      <w:rFonts w:hint="eastAsia"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539" w:hRule="atLeast"/>
                <w:jc w:val="center"/>
              </w:trPr>
              <w:tc>
                <w:tcPr>
                  <w:tcW w:w="516"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办公室</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建筑面积</w:t>
                  </w:r>
                  <w:r>
                    <w:rPr>
                      <w:rFonts w:hint="eastAsia"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rPr>
                    <w:t>m2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2层。</w:t>
                  </w:r>
                </w:p>
              </w:tc>
              <w:tc>
                <w:tcPr>
                  <w:tcW w:w="2757"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531" w:hRule="atLeast"/>
                <w:jc w:val="center"/>
              </w:trPr>
              <w:tc>
                <w:tcPr>
                  <w:tcW w:w="516"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堆料区</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建筑面积</w:t>
                  </w:r>
                  <w:r>
                    <w:rPr>
                      <w:rFonts w:hint="eastAsia"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m2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仅用于定期化验商品混凝他质量</w:t>
                  </w:r>
                </w:p>
              </w:tc>
              <w:tc>
                <w:tcPr>
                  <w:tcW w:w="2757"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43" w:hRule="atLeast"/>
                <w:jc w:val="center"/>
              </w:trPr>
              <w:tc>
                <w:tcPr>
                  <w:tcW w:w="516" w:type="dxa"/>
                  <w:vMerge w:val="restar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公用工程</w:t>
                  </w: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供电工程</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本项目用电由</w:t>
                  </w:r>
                  <w:r>
                    <w:rPr>
                      <w:rFonts w:hint="eastAsia" w:ascii="Times New Roman" w:hAnsi="Times New Roman" w:eastAsia="宋体" w:cs="Times New Roman"/>
                      <w:sz w:val="21"/>
                      <w:szCs w:val="21"/>
                      <w:lang w:val="en-US" w:eastAsia="zh-CN"/>
                    </w:rPr>
                    <w:t>变电所供电线路，架空引至厂区配电柜，经降压后敷设至各生产工段、办公室等作为生产、办公电源。</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281" w:hRule="atLeast"/>
                <w:jc w:val="center"/>
              </w:trPr>
              <w:tc>
                <w:tcPr>
                  <w:tcW w:w="516" w:type="dxa"/>
                  <w:vMerge w:val="continue"/>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供水工程</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本项目用水由</w:t>
                  </w:r>
                  <w:r>
                    <w:rPr>
                      <w:rFonts w:hint="eastAsia" w:ascii="Times New Roman" w:hAnsi="Times New Roman" w:eastAsia="宋体" w:cs="Times New Roman"/>
                      <w:sz w:val="21"/>
                      <w:szCs w:val="21"/>
                      <w:lang w:val="en-US" w:eastAsia="zh-CN"/>
                    </w:rPr>
                    <w:t>城镇供水管网提供。</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281" w:hRule="atLeast"/>
                <w:jc w:val="center"/>
              </w:trPr>
              <w:tc>
                <w:tcPr>
                  <w:tcW w:w="516" w:type="dxa"/>
                  <w:vMerge w:val="continue"/>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after="0"/>
                    <w:ind w:left="0" w:firstLine="0" w:firstLineChars="0"/>
                    <w:jc w:val="center"/>
                    <w:rPr>
                      <w:rFonts w:hint="default" w:ascii="Times New Roman" w:hAnsi="Times New Roman" w:eastAsia="宋体" w:cs="Times New Roman"/>
                      <w:color w:val="auto"/>
                      <w:sz w:val="21"/>
                      <w:szCs w:val="21"/>
                      <w:highlight w:val="none"/>
                      <w:u w:val="none"/>
                    </w:rPr>
                  </w:pPr>
                </w:p>
              </w:tc>
              <w:tc>
                <w:tcPr>
                  <w:tcW w:w="148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sz w:val="21"/>
                      <w:szCs w:val="21"/>
                      <w:lang w:val="en-US" w:eastAsia="zh-CN"/>
                    </w:rPr>
                    <w:t>排水</w:t>
                  </w:r>
                  <w:r>
                    <w:rPr>
                      <w:rFonts w:hint="default" w:ascii="Times New Roman" w:hAnsi="Times New Roman" w:eastAsia="宋体" w:cs="Times New Roman"/>
                      <w:sz w:val="21"/>
                      <w:szCs w:val="21"/>
                    </w:rPr>
                    <w:t>工程</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项目生活污水经化粪池处理后，外运堆肥；清洗废水通过砂石分离器+废水回收系统拌匀处理，回用于生产</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不外排。</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1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环保</w:t>
                  </w:r>
                </w:p>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bCs/>
                      <w:color w:val="000000"/>
                      <w:sz w:val="21"/>
                      <w:szCs w:val="21"/>
                    </w:rPr>
                    <w:t>工程</w:t>
                  </w:r>
                </w:p>
              </w:tc>
              <w:tc>
                <w:tcPr>
                  <w:tcW w:w="148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Cs/>
                      <w:color w:val="000000"/>
                      <w:sz w:val="21"/>
                      <w:szCs w:val="21"/>
                      <w:highlight w:val="yellow"/>
                      <w:lang w:eastAsia="zh-CN"/>
                    </w:rPr>
                  </w:pPr>
                  <w:r>
                    <w:rPr>
                      <w:rFonts w:hint="default" w:ascii="Times New Roman" w:hAnsi="Times New Roman" w:eastAsia="宋体" w:cs="Times New Roman"/>
                      <w:sz w:val="21"/>
                      <w:szCs w:val="21"/>
                    </w:rPr>
                    <w:t>废气</w:t>
                  </w: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水泥仓</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脉冲除尘器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lang w:val="en-US" w:eastAsia="zh-CN"/>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粉煤灰仓</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脉冲除尘器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矿粉仓</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脉冲除尘器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搅拌工序</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脉冲除尘器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输送、投料工序</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设置水喷淋装置、设置雾炮机</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Cs/>
                      <w:color w:val="000000"/>
                      <w:sz w:val="21"/>
                      <w:szCs w:val="21"/>
                      <w:highlight w:val="yellow"/>
                    </w:rPr>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原料仓库</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仓库封闭、水喷淋装置</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highlight w:val="yellow"/>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highlight w:val="yellow"/>
                    </w:rPr>
                  </w:pPr>
                </w:p>
              </w:tc>
              <w:tc>
                <w:tcPr>
                  <w:tcW w:w="14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废水</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项目生活污水经化粪池处理后，外运堆肥；清洗废水通过砂石分离器+废水回收系统拌匀处理，回用于生产</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不外排。</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highlight w:val="yellow"/>
                    </w:rPr>
                  </w:pPr>
                </w:p>
              </w:tc>
              <w:tc>
                <w:tcPr>
                  <w:tcW w:w="148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固废</w:t>
                  </w: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收集粉尘</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回用于生产</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更换废旧布袋</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外售综合利用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分离沉渣</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回用于生产</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外加剂废包装物</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外运综合利用</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14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pPr>
                </w:p>
              </w:tc>
              <w:tc>
                <w:tcPr>
                  <w:tcW w:w="20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w:t>
                  </w:r>
                </w:p>
              </w:tc>
              <w:tc>
                <w:tcPr>
                  <w:tcW w:w="20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生活垃圾收集至垃圾桶、委托环卫部门定期清运</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51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000000"/>
                      <w:sz w:val="21"/>
                      <w:szCs w:val="21"/>
                      <w:highlight w:val="yellow"/>
                    </w:rPr>
                  </w:pPr>
                </w:p>
              </w:tc>
              <w:tc>
                <w:tcPr>
                  <w:tcW w:w="14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sz w:val="21"/>
                      <w:szCs w:val="21"/>
                    </w:rPr>
                    <w:t>噪声</w:t>
                  </w:r>
                </w:p>
              </w:tc>
              <w:tc>
                <w:tcPr>
                  <w:tcW w:w="409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w:t>
                  </w:r>
                  <w:r>
                    <w:rPr>
                      <w:rFonts w:hint="eastAsia" w:ascii="Times New Roman" w:hAnsi="Times New Roman" w:eastAsia="宋体" w:cs="Times New Roman"/>
                      <w:sz w:val="21"/>
                      <w:szCs w:val="21"/>
                      <w:lang w:val="en-US" w:eastAsia="zh-CN"/>
                    </w:rPr>
                    <w:t>选用低</w:t>
                  </w:r>
                  <w:r>
                    <w:rPr>
                      <w:rFonts w:hint="default" w:ascii="Times New Roman" w:hAnsi="Times New Roman" w:eastAsia="宋体" w:cs="Times New Roman"/>
                      <w:sz w:val="21"/>
                      <w:szCs w:val="21"/>
                      <w:lang w:val="en-US" w:eastAsia="zh-CN"/>
                    </w:rPr>
                    <w:t>噪声</w:t>
                  </w:r>
                  <w:r>
                    <w:rPr>
                      <w:rFonts w:hint="eastAsia" w:ascii="Times New Roman" w:hAnsi="Times New Roman" w:eastAsia="宋体" w:cs="Times New Roman"/>
                      <w:sz w:val="21"/>
                      <w:szCs w:val="21"/>
                      <w:lang w:val="en-US" w:eastAsia="zh-CN"/>
                    </w:rPr>
                    <w:t>设备，高噪声设备应采取隔声、消声、</w:t>
                  </w:r>
                  <w:r>
                    <w:rPr>
                      <w:rFonts w:hint="default" w:ascii="Times New Roman" w:hAnsi="Times New Roman" w:eastAsia="宋体" w:cs="Times New Roman"/>
                      <w:sz w:val="21"/>
                      <w:szCs w:val="21"/>
                      <w:lang w:val="en-US" w:eastAsia="zh-CN"/>
                    </w:rPr>
                    <w:t>减</w:t>
                  </w:r>
                  <w:r>
                    <w:rPr>
                      <w:rFonts w:hint="eastAsia" w:ascii="Times New Roman" w:hAnsi="Times New Roman" w:eastAsia="宋体" w:cs="Times New Roman"/>
                      <w:sz w:val="21"/>
                      <w:szCs w:val="21"/>
                      <w:lang w:val="en-US" w:eastAsia="zh-CN"/>
                    </w:rPr>
                    <w:t>振和基础国定措施。</w:t>
                  </w:r>
                </w:p>
              </w:tc>
              <w:tc>
                <w:tcPr>
                  <w:tcW w:w="27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bl>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表</w:t>
            </w:r>
            <w:r>
              <w:rPr>
                <w:rFonts w:hint="default" w:ascii="Times New Roman" w:hAnsi="Times New Roman" w:eastAsia="宋体" w:cs="Times New Roman"/>
                <w:b/>
                <w:kern w:val="0"/>
                <w:sz w:val="21"/>
                <w:szCs w:val="21"/>
                <w:lang w:val="en-US" w:eastAsia="zh-CN"/>
              </w:rPr>
              <w:t>2.2</w:t>
            </w:r>
            <w:r>
              <w:rPr>
                <w:rFonts w:hint="default" w:ascii="Times New Roman" w:hAnsi="Times New Roman" w:eastAsia="宋体" w:cs="Times New Roman"/>
                <w:b/>
                <w:kern w:val="0"/>
                <w:sz w:val="21"/>
                <w:szCs w:val="21"/>
              </w:rPr>
              <w:t xml:space="preserve">   主要生产设备一览表</w:t>
            </w:r>
          </w:p>
          <w:tbl>
            <w:tblPr>
              <w:tblStyle w:val="13"/>
              <w:tblW w:w="50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280"/>
              <w:gridCol w:w="2280"/>
              <w:gridCol w:w="757"/>
              <w:gridCol w:w="1198"/>
              <w:gridCol w:w="1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4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8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28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w:t>
                  </w:r>
                </w:p>
              </w:tc>
              <w:tc>
                <w:tcPr>
                  <w:tcW w:w="427"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67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环评</w:t>
                  </w:r>
                  <w:r>
                    <w:rPr>
                      <w:rFonts w:hint="default" w:ascii="Times New Roman" w:hAnsi="Times New Roman" w:eastAsia="宋体" w:cs="Times New Roman"/>
                      <w:sz w:val="21"/>
                      <w:szCs w:val="21"/>
                    </w:rPr>
                    <w:t>数量</w:t>
                  </w:r>
                </w:p>
              </w:tc>
              <w:tc>
                <w:tcPr>
                  <w:tcW w:w="67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46"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4353" w:type="pct"/>
                  <w:gridSpan w:val="5"/>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混凝土搅拌站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搅拌站</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HZS180C8H型</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座</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搅拌站</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HZS240C8H型</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座</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水泥料仓</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最大储存量300t，配备螺旋输送机</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座</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6</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86"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粉煤灰仓</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最大储存量300t，配备螺旋输送机</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座</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86"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矿粉仓</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最大储存量300t，配备螺旋输送机</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座</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五斗投料机</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台</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5</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装载机</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辆</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地磅</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200t</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台</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砂石分离器</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台</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废水回收系统</w:t>
                  </w:r>
                </w:p>
              </w:tc>
              <w:tc>
                <w:tcPr>
                  <w:tcW w:w="12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2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套</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1</w:t>
                  </w:r>
                </w:p>
              </w:tc>
              <w:tc>
                <w:tcPr>
                  <w:tcW w:w="128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脉冲除尘器</w:t>
                  </w:r>
                </w:p>
              </w:tc>
              <w:tc>
                <w:tcPr>
                  <w:tcW w:w="128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27"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套</w:t>
                  </w:r>
                </w:p>
              </w:tc>
              <w:tc>
                <w:tcPr>
                  <w:tcW w:w="67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5</w:t>
                  </w:r>
                </w:p>
              </w:tc>
              <w:tc>
                <w:tcPr>
                  <w:tcW w:w="676"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rPr>
            </w:pPr>
            <w:r>
              <w:rPr>
                <w:rFonts w:hint="eastAsia"/>
              </w:rPr>
              <w:t>原辅材料消耗及水平衡：</w:t>
            </w:r>
          </w:p>
          <w:p>
            <w:pPr>
              <w:keepNext w:val="0"/>
              <w:keepLines w:val="0"/>
              <w:pageBreakBefore w:val="0"/>
              <w:widowControl w:val="0"/>
              <w:kinsoku/>
              <w:wordWrap/>
              <w:overflowPunct/>
              <w:topLinePunct w:val="0"/>
              <w:autoSpaceDE/>
              <w:autoSpaceDN/>
              <w:bidi w:val="0"/>
              <w:adjustRightInd/>
              <w:snapToGrid/>
              <w:spacing w:after="0" w:line="360" w:lineRule="auto"/>
              <w:ind w:left="0" w:firstLine="422" w:firstLineChars="2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1.主要原辅材料</w:t>
            </w:r>
          </w:p>
          <w:p>
            <w:pPr>
              <w:keepNext w:val="0"/>
              <w:keepLines w:val="0"/>
              <w:pageBreakBefore w:val="0"/>
              <w:kinsoku/>
              <w:wordWrap/>
              <w:overflowPunct/>
              <w:topLinePunct w:val="0"/>
              <w:autoSpaceDE/>
              <w:autoSpaceDN/>
              <w:bidi w:val="0"/>
              <w:spacing w:after="0" w:line="360" w:lineRule="auto"/>
              <w:ind w:left="0" w:firstLine="420" w:firstLineChars="200"/>
              <w:jc w:val="both"/>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本项目原材料主要由市场购买，原料供应充足，能够满足项目所需。</w:t>
            </w:r>
          </w:p>
          <w:p>
            <w:pPr>
              <w:keepNext w:val="0"/>
              <w:keepLines w:val="0"/>
              <w:pageBreakBefore w:val="0"/>
              <w:numPr>
                <w:ilvl w:val="0"/>
                <w:numId w:val="0"/>
              </w:numPr>
              <w:kinsoku/>
              <w:wordWrap/>
              <w:overflowPunct/>
              <w:topLinePunct w:val="0"/>
              <w:autoSpaceDE/>
              <w:autoSpaceDN/>
              <w:bidi w:val="0"/>
              <w:spacing w:after="0" w:line="360" w:lineRule="auto"/>
              <w:ind w:leftChars="200"/>
              <w:jc w:val="both"/>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①矿粉为石灰石粉末，质白细，袋装，采用专用运输车进行运送，贮放于矿粉罐内；</w:t>
            </w:r>
          </w:p>
          <w:p>
            <w:pPr>
              <w:keepNext w:val="0"/>
              <w:keepLines w:val="0"/>
              <w:pageBreakBefore w:val="0"/>
              <w:kinsoku/>
              <w:wordWrap/>
              <w:overflowPunct/>
              <w:topLinePunct w:val="0"/>
              <w:autoSpaceDE/>
              <w:autoSpaceDN/>
              <w:bidi w:val="0"/>
              <w:spacing w:after="0" w:line="360" w:lineRule="auto"/>
              <w:ind w:left="0" w:firstLine="420" w:firstLineChars="200"/>
              <w:jc w:val="both"/>
              <w:textAlignment w:val="auto"/>
              <w:outlineLvl w:val="1"/>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减水剂是改良混凝土拌合物流变性能的外加剂，主要成分为聚羧酸；</w:t>
            </w:r>
          </w:p>
          <w:p>
            <w:pPr>
              <w:keepNext w:val="0"/>
              <w:keepLines w:val="0"/>
              <w:pageBreakBefore w:val="0"/>
              <w:kinsoku/>
              <w:wordWrap/>
              <w:overflowPunct/>
              <w:topLinePunct w:val="0"/>
              <w:autoSpaceDE/>
              <w:autoSpaceDN/>
              <w:bidi w:val="0"/>
              <w:spacing w:after="0" w:line="360" w:lineRule="auto"/>
              <w:ind w:left="0" w:firstLine="420" w:firstLineChars="200"/>
              <w:jc w:val="both"/>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缓凝剂是调节混凝土凝结时间、硬化性能的外加剂，主要成分为多羟基化合物、羟基羧盐及其衍生物、高糖木质素磺盐；</w:t>
            </w:r>
          </w:p>
          <w:p>
            <w:pPr>
              <w:pStyle w:val="2"/>
              <w:jc w:val="center"/>
              <w:rPr>
                <w:rFonts w:hint="eastAsia"/>
                <w:lang w:eastAsia="zh-CN"/>
              </w:rPr>
            </w:pPr>
            <w:r>
              <w:rPr>
                <w:rFonts w:hint="default" w:ascii="Times New Roman" w:hAnsi="Times New Roman" w:eastAsia="宋体" w:cs="Times New Roman"/>
                <w:b/>
                <w:kern w:val="0"/>
                <w:sz w:val="21"/>
                <w:szCs w:val="21"/>
              </w:rPr>
              <w:t>表</w:t>
            </w:r>
            <w:r>
              <w:rPr>
                <w:rFonts w:hint="default" w:ascii="Times New Roman" w:hAnsi="Times New Roman" w:eastAsia="宋体" w:cs="Times New Roman"/>
                <w:b/>
                <w:kern w:val="0"/>
                <w:sz w:val="21"/>
                <w:szCs w:val="21"/>
                <w:lang w:val="en-US" w:eastAsia="zh-CN"/>
              </w:rPr>
              <w:t>2.</w:t>
            </w:r>
            <w:r>
              <w:rPr>
                <w:rFonts w:hint="eastAsia" w:ascii="Times New Roman" w:eastAsia="宋体" w:cs="Times New Roman"/>
                <w:b/>
                <w:kern w:val="0"/>
                <w:sz w:val="21"/>
                <w:szCs w:val="21"/>
                <w:lang w:val="en-US" w:eastAsia="zh-CN"/>
              </w:rPr>
              <w:t>3</w:t>
            </w:r>
            <w:r>
              <w:rPr>
                <w:rFonts w:hint="default" w:ascii="Times New Roman" w:hAnsi="Times New Roman" w:eastAsia="宋体" w:cs="Times New Roman"/>
                <w:b/>
                <w:kern w:val="0"/>
                <w:sz w:val="21"/>
                <w:szCs w:val="21"/>
              </w:rPr>
              <w:t xml:space="preserve">  主要</w:t>
            </w:r>
            <w:r>
              <w:rPr>
                <w:rFonts w:hint="eastAsia" w:ascii="Times New Roman" w:eastAsia="宋体" w:cs="Times New Roman"/>
                <w:b/>
                <w:kern w:val="0"/>
                <w:sz w:val="21"/>
                <w:szCs w:val="21"/>
                <w:lang w:val="en-US" w:eastAsia="zh-CN"/>
              </w:rPr>
              <w:t>原辅材料</w:t>
            </w:r>
            <w:r>
              <w:rPr>
                <w:rFonts w:hint="default" w:ascii="Times New Roman" w:hAnsi="Times New Roman" w:eastAsia="宋体" w:cs="Times New Roman"/>
                <w:b/>
                <w:kern w:val="0"/>
                <w:sz w:val="21"/>
                <w:szCs w:val="21"/>
              </w:rPr>
              <w:t>一览表</w:t>
            </w:r>
          </w:p>
          <w:tbl>
            <w:tblPr>
              <w:tblStyle w:val="13"/>
              <w:tblW w:w="8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9"/>
              <w:gridCol w:w="1780"/>
              <w:gridCol w:w="1008"/>
              <w:gridCol w:w="1686"/>
              <w:gridCol w:w="1320"/>
              <w:gridCol w:w="2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04"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04"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主要原料</w:t>
                  </w:r>
                </w:p>
              </w:tc>
              <w:tc>
                <w:tcPr>
                  <w:tcW w:w="569"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51"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环评</w:t>
                  </w:r>
                  <w:r>
                    <w:rPr>
                      <w:rFonts w:hint="default" w:ascii="Times New Roman" w:hAnsi="Times New Roman" w:eastAsia="宋体" w:cs="Times New Roman"/>
                      <w:sz w:val="21"/>
                      <w:szCs w:val="21"/>
                    </w:rPr>
                    <w:t>消耗量</w:t>
                  </w:r>
                </w:p>
              </w:tc>
              <w:tc>
                <w:tcPr>
                  <w:tcW w:w="745" w:type="pct"/>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142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lang w:val="en-US" w:eastAsia="zh-CN"/>
                    </w:rPr>
                    <w:t>一期工程实际消耗量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0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0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水泥</w:t>
                  </w:r>
                </w:p>
              </w:tc>
              <w:tc>
                <w:tcPr>
                  <w:tcW w:w="569"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60000</w:t>
                  </w:r>
                </w:p>
              </w:tc>
              <w:tc>
                <w:tcPr>
                  <w:tcW w:w="745" w:type="pct"/>
                  <w:vMerge w:val="restar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混凝土</w:t>
                  </w:r>
                </w:p>
              </w:tc>
              <w:tc>
                <w:tcPr>
                  <w:tcW w:w="142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sz w:val="21"/>
                      <w:szCs w:val="21"/>
                      <w:lang w:val="en-US"/>
                    </w:rPr>
                  </w:pPr>
                  <w:r>
                    <w:rPr>
                      <w:rFonts w:hint="eastAsia" w:ascii="Times New Roman" w:hAnsi="Times New Roman" w:eastAsia="宋体" w:cs="Times New Roman"/>
                      <w:sz w:val="21"/>
                      <w:szCs w:val="21"/>
                      <w:lang w:val="en-US" w:eastAsia="zh-CN"/>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石子</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220000</w:t>
                  </w:r>
                </w:p>
              </w:tc>
              <w:tc>
                <w:tcPr>
                  <w:tcW w:w="7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sz w:val="21"/>
                      <w:szCs w:val="21"/>
                      <w:lang w:val="en-US"/>
                    </w:rPr>
                  </w:pPr>
                  <w:r>
                    <w:rPr>
                      <w:rFonts w:hint="eastAsia" w:ascii="Times New Roman" w:hAnsi="Times New Roman" w:eastAsia="宋体" w:cs="Times New Roman"/>
                      <w:sz w:val="21"/>
                      <w:szCs w:val="21"/>
                      <w:lang w:val="en-US" w:eastAsia="zh-CN"/>
                    </w:rPr>
                    <w:t>132000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砂子</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132000</w:t>
                  </w:r>
                </w:p>
              </w:tc>
              <w:tc>
                <w:tcPr>
                  <w:tcW w:w="7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sz w:val="21"/>
                      <w:szCs w:val="21"/>
                      <w:lang w:val="en-US"/>
                    </w:rPr>
                  </w:pPr>
                  <w:r>
                    <w:rPr>
                      <w:rFonts w:hint="eastAsia" w:ascii="Times New Roman" w:hAnsi="Times New Roman" w:eastAsia="宋体" w:cs="Times New Roman"/>
                      <w:sz w:val="21"/>
                      <w:szCs w:val="21"/>
                      <w:lang w:val="en-US" w:eastAsia="zh-CN"/>
                    </w:rPr>
                    <w:t>79200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粉煤灰</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12000</w:t>
                  </w:r>
                </w:p>
              </w:tc>
              <w:tc>
                <w:tcPr>
                  <w:tcW w:w="7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矿粉</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600</w:t>
                  </w:r>
                  <w:r>
                    <w:rPr>
                      <w:rFonts w:hint="eastAsia" w:ascii="Times New Roman" w:hAnsi="Times New Roman" w:eastAsia="宋体" w:cs="Times New Roman"/>
                      <w:sz w:val="21"/>
                      <w:szCs w:val="21"/>
                      <w:lang w:val="en-US" w:eastAsia="zh-CN"/>
                    </w:rPr>
                    <w:t>0</w:t>
                  </w:r>
                </w:p>
              </w:tc>
              <w:tc>
                <w:tcPr>
                  <w:tcW w:w="7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9600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外加剂</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c>
                <w:tcPr>
                  <w:tcW w:w="7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00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水</w:t>
                  </w:r>
                </w:p>
              </w:tc>
              <w:tc>
                <w:tcPr>
                  <w:tcW w:w="569" w:type="pct"/>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5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34813</w:t>
                  </w:r>
                </w:p>
              </w:tc>
              <w:tc>
                <w:tcPr>
                  <w:tcW w:w="74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tc>
              <w:tc>
                <w:tcPr>
                  <w:tcW w:w="14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22546</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w:t>
            </w:r>
            <w:r>
              <w:rPr>
                <w:rFonts w:hint="eastAsia" w:ascii="Times New Roman" w:hAnsi="Times New Roman" w:eastAsia="宋体" w:cs="Times New Roman"/>
                <w:b/>
                <w:bCs/>
                <w:sz w:val="21"/>
                <w:szCs w:val="21"/>
                <w:lang w:val="en-US" w:eastAsia="zh-CN"/>
              </w:rPr>
              <w:t>一期工程</w:t>
            </w:r>
            <w:r>
              <w:rPr>
                <w:rFonts w:hint="default" w:ascii="Times New Roman" w:hAnsi="Times New Roman" w:eastAsia="宋体" w:cs="Times New Roman"/>
                <w:b/>
                <w:bCs/>
                <w:sz w:val="21"/>
                <w:szCs w:val="21"/>
                <w:lang w:val="en-US" w:eastAsia="zh-CN"/>
              </w:rPr>
              <w:t>水平衡</w:t>
            </w:r>
          </w:p>
          <w:p>
            <w:pPr>
              <w:keepNext w:val="0"/>
              <w:keepLines w:val="0"/>
              <w:pageBreakBefore w:val="0"/>
              <w:kinsoku/>
              <w:wordWrap/>
              <w:overflowPunct/>
              <w:topLinePunct w:val="0"/>
              <w:autoSpaceDE/>
              <w:autoSpaceDN/>
              <w:bidi w:val="0"/>
              <w:spacing w:after="0" w:line="360" w:lineRule="auto"/>
              <w:ind w:firstLine="422" w:firstLineChars="200"/>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2.1</w:t>
            </w:r>
            <w:r>
              <w:rPr>
                <w:rFonts w:hint="default" w:ascii="Times New Roman" w:hAnsi="Times New Roman" w:eastAsia="宋体" w:cs="Times New Roman"/>
                <w:b/>
                <w:sz w:val="21"/>
                <w:szCs w:val="21"/>
              </w:rPr>
              <w:t>给水</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该项目供水为城镇供水管网供水。项目用水主要为生产用水和生活用水，项目生产用水为水喷淋装置用水、清洗用水和产品添加水。</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1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水喷淋装置用水：该项目设置水喷淋装置，用于降尘抑尘，用水量约为1m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/d</w:t>
            </w:r>
            <w:r>
              <w:rPr>
                <w:rFonts w:hint="default" w:ascii="Times New Roman" w:hAnsi="Times New Roman" w:eastAsia="宋体" w:cs="Times New Roman"/>
                <w:sz w:val="21"/>
                <w:szCs w:val="21"/>
              </w:rPr>
              <w:t>(300m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/a)。</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清洗用水：该项目运输车辆清洗用水0.05m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/车次，每天运输</w:t>
            </w:r>
            <w:r>
              <w:rPr>
                <w:rFonts w:hint="eastAsia" w:ascii="Times New Roman" w:hAnsi="Times New Roman" w:eastAsia="宋体" w:cs="Times New Roman"/>
                <w:sz w:val="21"/>
                <w:szCs w:val="21"/>
                <w:lang w:val="en-US" w:eastAsia="zh-CN"/>
              </w:rPr>
              <w:t>48</w:t>
            </w:r>
            <w:r>
              <w:rPr>
                <w:rFonts w:hint="default" w:ascii="Times New Roman" w:hAnsi="Times New Roman" w:eastAsia="宋体" w:cs="Times New Roman"/>
                <w:sz w:val="21"/>
                <w:szCs w:val="21"/>
              </w:rPr>
              <w:t>车次，用水量为</w:t>
            </w: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d(</w:t>
            </w:r>
            <w:r>
              <w:rPr>
                <w:rFonts w:hint="eastAsia" w:ascii="Times New Roman" w:hAnsi="Times New Roman" w:eastAsia="宋体" w:cs="Times New Roman"/>
                <w:sz w:val="21"/>
                <w:szCs w:val="21"/>
                <w:lang w:val="en-US" w:eastAsia="zh-CN"/>
              </w:rPr>
              <w:t>720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/a)；搅拌装置清洗1次/天，用水量为0.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d(</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/a)；作业区地面冲洗用水</w:t>
            </w:r>
          </w:p>
          <w:p>
            <w:pPr>
              <w:keepNext w:val="0"/>
              <w:keepLines w:val="0"/>
              <w:pageBreakBefore w:val="0"/>
              <w:kinsoku/>
              <w:wordWrap/>
              <w:overflowPunct/>
              <w:topLinePunct w:val="0"/>
              <w:autoSpaceDE/>
              <w:autoSpaceDN/>
              <w:bidi w:val="0"/>
              <w:spacing w:after="0" w:line="360" w:lineRule="auto"/>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0.5m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/d(150m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r>
              <w:rPr>
                <w:rFonts w:hint="eastAsia" w:ascii="Times New Roman" w:hAnsi="Times New Roman" w:eastAsia="宋体" w:cs="Times New Roman"/>
                <w:sz w:val="21"/>
                <w:szCs w:val="21"/>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产品添加水：该项目产品添加水主要为商品混凝土添加水，年用水量为</w:t>
            </w:r>
            <w:r>
              <w:rPr>
                <w:rFonts w:hint="eastAsia" w:ascii="Times New Roman" w:hAnsi="Times New Roman" w:eastAsia="宋体" w:cs="Times New Roman"/>
                <w:sz w:val="21"/>
                <w:szCs w:val="21"/>
                <w:lang w:val="en-US" w:eastAsia="zh-CN"/>
              </w:rPr>
              <w:t>20400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/a,其中废水回收系统回用水量</w:t>
            </w:r>
            <w:r>
              <w:rPr>
                <w:rFonts w:hint="eastAsia" w:ascii="Times New Roman" w:hAnsi="Times New Roman" w:eastAsia="宋体" w:cs="Times New Roman"/>
                <w:sz w:val="21"/>
                <w:szCs w:val="21"/>
                <w:lang w:val="en-US" w:eastAsia="zh-CN"/>
              </w:rPr>
              <w:t>691</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生产用水总量300+</w:t>
            </w:r>
            <w:r>
              <w:rPr>
                <w:rFonts w:hint="eastAsia" w:ascii="Times New Roman" w:hAnsi="Times New Roman" w:eastAsia="宋体" w:cs="Times New Roman"/>
                <w:sz w:val="21"/>
                <w:szCs w:val="21"/>
                <w:lang w:val="en-US" w:eastAsia="zh-CN"/>
              </w:rPr>
              <w:t>930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21091</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22321</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该项目劳动定员是15人，工作日为300天，项目无食堂、宿舍，用水量按50L/人d计算，则生活用水量0.75m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d</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年用水量约为225m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则该项目新鲜水用水量为</w:t>
            </w:r>
            <w:r>
              <w:rPr>
                <w:rFonts w:hint="eastAsia" w:ascii="Times New Roman" w:hAnsi="Times New Roman" w:eastAsia="宋体" w:cs="Times New Roman"/>
                <w:sz w:val="21"/>
                <w:szCs w:val="21"/>
                <w:lang w:val="en-US" w:eastAsia="zh-CN"/>
              </w:rPr>
              <w:t>22321</w:t>
            </w:r>
            <w:r>
              <w:rPr>
                <w:rFonts w:hint="default" w:ascii="Times New Roman" w:hAnsi="Times New Roman" w:eastAsia="宋体" w:cs="Times New Roman"/>
                <w:sz w:val="21"/>
                <w:szCs w:val="21"/>
              </w:rPr>
              <w:t>+225=</w:t>
            </w:r>
            <w:r>
              <w:rPr>
                <w:rFonts w:hint="eastAsia" w:ascii="Times New Roman" w:hAnsi="Times New Roman" w:eastAsia="宋体" w:cs="Times New Roman"/>
                <w:sz w:val="21"/>
                <w:szCs w:val="21"/>
                <w:lang w:val="en-US" w:eastAsia="zh-CN"/>
              </w:rPr>
              <w:t>22546</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p>
            <w:pPr>
              <w:keepNext w:val="0"/>
              <w:keepLines w:val="0"/>
              <w:pageBreakBefore w:val="0"/>
              <w:kinsoku/>
              <w:wordWrap/>
              <w:overflowPunct/>
              <w:topLinePunct w:val="0"/>
              <w:autoSpaceDE/>
              <w:autoSpaceDN/>
              <w:bidi w:val="0"/>
              <w:spacing w:after="0" w:line="360" w:lineRule="auto"/>
              <w:ind w:firstLine="422"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b/>
                <w:sz w:val="21"/>
                <w:szCs w:val="21"/>
                <w:lang w:val="en-US" w:eastAsia="zh-CN"/>
              </w:rPr>
              <w:t>2.2</w:t>
            </w:r>
            <w:r>
              <w:rPr>
                <w:rFonts w:hint="default" w:ascii="Times New Roman" w:hAnsi="Times New Roman" w:eastAsia="宋体" w:cs="Times New Roman"/>
                <w:b/>
                <w:sz w:val="21"/>
                <w:szCs w:val="21"/>
              </w:rPr>
              <w:t>排水</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排水：该项目水喷淋装置用水全部进入产品不外排；产品添加水全部用于生产不外排</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清洗用水排放系数为0.8，则排放量为</w:t>
            </w:r>
            <w:r>
              <w:rPr>
                <w:rFonts w:hint="eastAsia" w:ascii="Times New Roman" w:hAnsi="Times New Roman" w:eastAsia="宋体" w:cs="Times New Roman"/>
                <w:sz w:val="21"/>
                <w:szCs w:val="21"/>
                <w:lang w:val="en-US" w:eastAsia="zh-CN"/>
              </w:rPr>
              <w:t>744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/a:项目生活污水产生量按用水量的80%计算，生活污水产生量约为180m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则该项目废水产生量为</w:t>
            </w:r>
            <w:r>
              <w:rPr>
                <w:rFonts w:hint="eastAsia" w:ascii="Times New Roman" w:hAnsi="Times New Roman" w:eastAsia="宋体" w:cs="Times New Roman"/>
                <w:sz w:val="21"/>
                <w:szCs w:val="21"/>
                <w:lang w:val="en-US" w:eastAsia="zh-CN"/>
              </w:rPr>
              <w:t>924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p>
            <w:pPr>
              <w:pStyle w:val="11"/>
              <w:keepNext w:val="0"/>
              <w:keepLines w:val="0"/>
              <w:pageBreakBefore w:val="0"/>
              <w:widowControl/>
              <w:kinsoku/>
              <w:wordWrap/>
              <w:overflowPunct/>
              <w:topLinePunct w:val="0"/>
              <w:autoSpaceDE/>
              <w:autoSpaceDN/>
              <w:bidi w:val="0"/>
              <w:adjustRightInd w:val="0"/>
              <w:snapToGrid w:val="0"/>
              <w:spacing w:after="0"/>
              <w:ind w:left="0" w:leftChars="0" w:firstLine="0" w:firstLineChars="0"/>
              <w:textAlignment w:val="auto"/>
              <w:rPr>
                <w:rFonts w:hint="eastAsia" w:eastAsia="微软雅黑"/>
                <w:lang w:eastAsia="zh-CN"/>
              </w:rPr>
            </w:pPr>
          </w:p>
          <w:p>
            <w:pPr>
              <w:pStyle w:val="11"/>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eastAsia="微软雅黑"/>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4" w:hRule="atLeast"/>
          <w:jc w:val="center"/>
        </w:trPr>
        <w:tc>
          <w:tcPr>
            <w:tcW w:w="9028"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rPr>
            </w:pPr>
            <w:r>
              <w:rPr>
                <w:rFonts w:hint="eastAsia"/>
              </w:rPr>
              <w:t>主要工艺流程及产物环节（附处理工艺流程图，标出产污节点）</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工艺流程简述：</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混凝土生产工艺</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入厂：本项目使用的水泥、粉煤灰均为散装，由罐车运进，采用气力输送卸料（气力输送是利用散装水泥罐车上的输送系统进行输送，散装粉状物料在输送中被压缩空气吹散成悬浮状态，混合气体沿管道输送到筒仓中，由仓顶收尘器收集从筒仓中溢出气体中的粉尘)，储存在筒仓中。本项目使用的砂子和石子均为成品水洗砂和水洗石子，有汽车运进，卸入原料仓库。石子来自附近的采石场，砂子取自周边砂石点，运输方便，无需大量堆存。</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生产工序：本项目生产工艺相对较为简单，所有工序均为物理过程。</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生产时将骨料由骨料仓卸料门卸入骨料计量斗中进行计量，计量好后由输送带输送到待料斗中等待指令，同时水泥及粉煤灰等由螺旋输送机送至计量斗中进行计量，水及外加剂分别由水泵及外加剂泵送到各自的计量斗中进行计量。</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搅拌：各种物料计量完毕后，由控制系统发出指令开始顺次投料到搅拌机中进行搅拌。</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出厂：搅拌完成后，打开搅拌机的卸料门，将混凝土经卸料斗卸至搅拌运输车中，运输车辆将成品运出</w:t>
            </w:r>
            <w:r>
              <w:rPr>
                <w:rFonts w:hint="eastAsia" w:ascii="Times New Roman" w:hAnsi="Times New Roman" w:eastAsia="宋体" w:cs="Times New Roman"/>
                <w:sz w:val="21"/>
                <w:szCs w:val="21"/>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营运期废气主要是水泥、粉煤灰、矿粉等原料输送、投料过程产生的粉尘：石子、砂子等原料输送、投料过程产生的粉尘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原料仓库产生的扬尘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筒仓呼吸粉尘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搅拌站搅拌粉尘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运输车辆引起的动力扬尘。</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混凝土生产工艺流程及产污节点见图</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2。</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5588635" cy="2876550"/>
                  <wp:effectExtent l="0" t="0" r="12065" b="0"/>
                  <wp:docPr id="19" name="图片 19" descr="3eecbadec54fec4d86923f14bc23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eecbadec54fec4d86923f14bc2300c"/>
                          <pic:cNvPicPr>
                            <a:picLocks noChangeAspect="1"/>
                          </pic:cNvPicPr>
                        </pic:nvPicPr>
                        <pic:blipFill>
                          <a:blip r:embed="rId12"/>
                          <a:stretch>
                            <a:fillRect/>
                          </a:stretch>
                        </pic:blipFill>
                        <pic:spPr>
                          <a:xfrm>
                            <a:off x="0" y="0"/>
                            <a:ext cx="5588635" cy="28765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bCs/>
                <w:sz w:val="24"/>
              </w:rPr>
            </w:pPr>
            <w:r>
              <w:rPr>
                <w:rFonts w:hint="default" w:ascii="Times New Roman" w:hAnsi="Times New Roman" w:eastAsia="宋体" w:cs="Times New Roman"/>
                <w:b/>
                <w:bCs w:val="0"/>
                <w:sz w:val="21"/>
                <w:szCs w:val="21"/>
              </w:rPr>
              <w:t>图</w:t>
            </w:r>
            <w:r>
              <w:rPr>
                <w:rFonts w:hint="eastAsia" w:ascii="Times New Roman" w:hAnsi="Times New Roman" w:eastAsia="宋体" w:cs="Times New Roman"/>
                <w:b/>
                <w:bCs w:val="0"/>
                <w:sz w:val="21"/>
                <w:szCs w:val="21"/>
                <w:lang w:val="en-US" w:eastAsia="zh-CN"/>
              </w:rPr>
              <w:t>2</w:t>
            </w:r>
            <w:r>
              <w:rPr>
                <w:rFonts w:hint="default" w:ascii="Times New Roman" w:hAnsi="Times New Roman" w:eastAsia="宋体" w:cs="Times New Roman"/>
                <w:b/>
                <w:bCs w:val="0"/>
                <w:sz w:val="21"/>
                <w:szCs w:val="21"/>
              </w:rPr>
              <w:t>-2  混凝土生产工艺流程及产污节点图</w:t>
            </w:r>
          </w:p>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eastAsia" w:eastAsia="微软雅黑"/>
                <w:lang w:eastAsia="zh-CN"/>
              </w:rPr>
            </w:pPr>
          </w:p>
        </w:tc>
      </w:tr>
    </w:tbl>
    <w:p>
      <w:pPr>
        <w:spacing w:line="360" w:lineRule="auto"/>
        <w:rPr>
          <w:rFonts w:eastAsia="仿宋_GB2312"/>
          <w:color w:val="000000"/>
          <w:sz w:val="21"/>
          <w:szCs w:val="21"/>
        </w:rPr>
        <w:sectPr>
          <w:footerReference r:id="rId10"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spacing w:line="360" w:lineRule="exact"/>
              <w:rPr>
                <w:rFonts w:hint="eastAsia" w:ascii="宋体" w:hAnsi="宋体" w:eastAsia="宋体"/>
                <w:color w:val="000000"/>
                <w:sz w:val="21"/>
                <w:szCs w:val="21"/>
              </w:rPr>
            </w:pPr>
            <w:r>
              <w:rPr>
                <w:rFonts w:hint="eastAsia" w:ascii="宋体" w:hAnsi="宋体" w:eastAsia="宋体"/>
                <w:color w:val="000000"/>
                <w:sz w:val="21"/>
                <w:szCs w:val="21"/>
              </w:rPr>
              <w:t>主要污染源、污染物处理和排放（附处理流程示意图，标出废水、废气、厂界噪声监测点位）</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废气污染物</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该项目原料水泥、粉煤灰、矿粉通过输送装置送到搅拌站，物料输送通过搅拌设备自带的密封传送带完成，在输送、投料过程中产生少量的粉尘</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该项目石子、砂子均储存在原料仓库内，该项目在仓库为全密闭，石子、砂子采用五斗投料机输送至搅拌站。项目原料仓库采用全封闭，物料采用防尘网遮盖并配有定期水喷淋装置，五斗投料机配有定期水喷淋装置：该项目水泥、粉煤灰、矿粉均采用筒库料仓储存，筒仓全封闭，该项目设有</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座粉料仓（水泥仓</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座、粉煤灰仓与矿粉仓各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座），每座筒仓顶部配置1台布袋除尘器，共</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台除尘器，除尘器处理后无组织排放。该项目水泥、粉煤灰、矿粉、石子、砂子等原料通过输送装置送到搅拌站，该项目在物料混合搅拌为全密闭生产</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将产生的粉尘收集后经布袋除尘器处理后，无组织排放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废气无组织颗粒物排放执行山东省地标（DB37/2373-2018）《建材工业大气污染物排放标准》表3中无组织排放监控点浓度限值要求</w:t>
            </w:r>
            <w:r>
              <w:rPr>
                <w:rFonts w:hint="eastAsia" w:ascii="Times New Roman" w:hAnsi="Times New Roman" w:eastAsia="宋体" w:cs="Times New Roman"/>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w:t>
            </w:r>
            <w:r>
              <w:rPr>
                <w:rFonts w:hint="eastAsia" w:ascii="Times New Roman" w:hAnsi="Times New Roman" w:eastAsia="宋体" w:cs="Times New Roman"/>
                <w:b/>
                <w:sz w:val="21"/>
                <w:szCs w:val="21"/>
                <w:lang w:eastAsia="zh-CN"/>
              </w:rPr>
              <w:t>.</w:t>
            </w:r>
            <w:r>
              <w:rPr>
                <w:rFonts w:hint="default" w:ascii="Times New Roman" w:hAnsi="Times New Roman" w:eastAsia="宋体" w:cs="Times New Roman"/>
                <w:b/>
                <w:sz w:val="21"/>
                <w:szCs w:val="21"/>
              </w:rPr>
              <w:t>废水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活污水经化粪池处理后，外运堆肥；该项目清洗废水经厂内管渠汇聚到废水收集池，经砂石分离器分离后，浑浊废水经废水回收系统处理，废水回收系统主要是将浑浊废水搅拌均匀，然后由泵打入生产工序重复利用，无外排。</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3</w:t>
            </w:r>
            <w:r>
              <w:rPr>
                <w:rFonts w:hint="eastAsia" w:ascii="Times New Roman" w:hAnsi="Times New Roman" w:eastAsia="宋体" w:cs="Times New Roman"/>
                <w:b/>
                <w:kern w:val="0"/>
                <w:sz w:val="21"/>
                <w:szCs w:val="21"/>
                <w:lang w:eastAsia="zh-CN"/>
              </w:rPr>
              <w:t>.</w:t>
            </w:r>
            <w:r>
              <w:rPr>
                <w:rFonts w:hint="default" w:ascii="Times New Roman" w:hAnsi="Times New Roman" w:eastAsia="宋体" w:cs="Times New Roman"/>
                <w:b/>
                <w:kern w:val="0"/>
                <w:sz w:val="21"/>
                <w:szCs w:val="21"/>
              </w:rPr>
              <w:t>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kern w:val="0"/>
                <w:sz w:val="21"/>
                <w:szCs w:val="21"/>
              </w:rPr>
              <w:t>本项目选用低噪声设备，高噪声设备采取隔声、消声、减振和基础国定措施。</w:t>
            </w:r>
            <w:r>
              <w:rPr>
                <w:rFonts w:hint="default" w:ascii="Times New Roman" w:hAnsi="Times New Roman" w:eastAsia="宋体" w:cs="Times New Roman"/>
                <w:sz w:val="21"/>
                <w:szCs w:val="21"/>
              </w:rPr>
              <w:t>该项目营运期确保设备正常运行，落实各项降噪措施，经过距离衰减后，厂界噪声达到《工业企业厂界环境噪声排放标准》（GB12348-2008）的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r>
              <w:rPr>
                <w:rFonts w:hint="default" w:ascii="Times New Roman" w:hAnsi="Times New Roman" w:eastAsia="宋体" w:cs="Times New Roman"/>
                <w:spacing w:val="-3"/>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4</w:t>
            </w:r>
            <w:r>
              <w:rPr>
                <w:rFonts w:hint="eastAsia" w:ascii="Times New Roman" w:hAnsi="Times New Roman" w:eastAsia="宋体" w:cs="Times New Roman"/>
                <w:b/>
                <w:kern w:val="0"/>
                <w:sz w:val="21"/>
                <w:szCs w:val="21"/>
                <w:lang w:eastAsia="zh-CN"/>
              </w:rPr>
              <w:t>.</w:t>
            </w:r>
            <w:r>
              <w:rPr>
                <w:rFonts w:hint="default" w:ascii="Times New Roman" w:hAnsi="Times New Roman" w:eastAsia="宋体" w:cs="Times New Roman"/>
                <w:b/>
                <w:kern w:val="0"/>
                <w:sz w:val="21"/>
                <w:szCs w:val="21"/>
              </w:rPr>
              <w:t>固废</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eastAsia="仿宋_GB2312"/>
                <w:color w:val="000000"/>
                <w:sz w:val="21"/>
                <w:szCs w:val="21"/>
              </w:rPr>
            </w:pPr>
            <w:r>
              <w:rPr>
                <w:rFonts w:hint="default" w:ascii="Times New Roman" w:hAnsi="Times New Roman" w:eastAsia="宋体" w:cs="Times New Roman"/>
                <w:sz w:val="21"/>
                <w:szCs w:val="21"/>
              </w:rPr>
              <w:t>该项目生产固废主要为布袋除尘器收集的粉尘，布袋除尘器更换的废旧布袋，砂石分离器分离沉渣，外加剂废包装物。布袋除尘器收集的粉尘量，回用于生产。该项目布袋除尘器，更换的废旧布袋外售综合利用。砂石分离器分离沉渣主要为砂石及混泥土沉渣，回用于生产，对周围的环境基本无影响。该项目生产过程中使用外加剂，会产生废包装物，外售综合利用。</w:t>
            </w:r>
          </w:p>
        </w:tc>
      </w:tr>
    </w:tbl>
    <w:p>
      <w:pPr>
        <w:spacing w:line="360" w:lineRule="auto"/>
        <w:rPr>
          <w:rFonts w:hint="eastAsia" w:eastAsia="仿宋_GB2312"/>
          <w:color w:val="000000"/>
          <w:sz w:val="21"/>
          <w:szCs w:val="21"/>
        </w:r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四</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spacing w:before="48" w:beforeLines="20" w:line="360" w:lineRule="auto"/>
              <w:rPr>
                <w:rFonts w:hint="eastAsia" w:ascii="宋体" w:hAnsi="宋体" w:eastAsia="宋体"/>
                <w:color w:val="000000"/>
                <w:sz w:val="21"/>
                <w:szCs w:val="21"/>
              </w:rPr>
            </w:pPr>
            <w:r>
              <w:rPr>
                <w:rFonts w:hint="eastAsia" w:ascii="宋体" w:hAnsi="宋体" w:eastAsia="宋体"/>
                <w:color w:val="000000"/>
                <w:sz w:val="21"/>
                <w:szCs w:val="21"/>
              </w:rPr>
              <w:t>建设项目环境影响报告表主要结论及审批部门审批决定：</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b/>
                <w:sz w:val="21"/>
                <w:szCs w:val="21"/>
                <w:lang w:val="en-US" w:eastAsia="zh-CN"/>
              </w:rPr>
              <w:t>一、</w:t>
            </w:r>
            <w:r>
              <w:rPr>
                <w:rFonts w:hint="default" w:ascii="Times New Roman" w:hAnsi="Times New Roman" w:eastAsia="宋体" w:cs="Times New Roman"/>
                <w:b/>
                <w:bCs/>
                <w:sz w:val="21"/>
                <w:szCs w:val="21"/>
              </w:rPr>
              <w:t>建设项目环境影响报告表主要结论</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1.</w:t>
            </w:r>
            <w:r>
              <w:rPr>
                <w:rFonts w:hint="default" w:ascii="Times New Roman" w:hAnsi="Times New Roman" w:eastAsia="宋体" w:cs="Times New Roman"/>
                <w:b/>
                <w:sz w:val="21"/>
                <w:szCs w:val="21"/>
              </w:rPr>
              <w:t>项目概况</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菏泽凯瑞投资管理有限公司</w:t>
            </w:r>
            <w:r>
              <w:rPr>
                <w:rFonts w:hint="eastAsia" w:ascii="Times New Roman" w:hAnsi="Times New Roman" w:eastAsia="宋体" w:cs="Times New Roman"/>
                <w:kern w:val="0"/>
                <w:sz w:val="21"/>
                <w:szCs w:val="21"/>
                <w:lang w:eastAsia="zh-CN"/>
              </w:rPr>
              <w:t>凯瑞公司年产20万方混凝土项目一期工程</w:t>
            </w:r>
            <w:r>
              <w:rPr>
                <w:rFonts w:hint="default" w:ascii="Times New Roman" w:hAnsi="Times New Roman" w:eastAsia="宋体" w:cs="Times New Roman"/>
                <w:kern w:val="0"/>
                <w:sz w:val="21"/>
                <w:szCs w:val="21"/>
              </w:rPr>
              <w:t>，位于山东省菏泽市经济开发区陈集镇焦庄行政村的盐土窑厂，该项目总投资1200万元，占地面积26980m</w:t>
            </w:r>
            <w:r>
              <w:rPr>
                <w:rFonts w:hint="default" w:ascii="Times New Roman" w:hAnsi="Times New Roman" w:eastAsia="宋体" w:cs="Times New Roman"/>
                <w:kern w:val="0"/>
                <w:sz w:val="21"/>
                <w:szCs w:val="21"/>
                <w:vertAlign w:val="superscript"/>
              </w:rPr>
              <w:t>2</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项目核定人员15人。</w:t>
            </w:r>
          </w:p>
          <w:p>
            <w:pPr>
              <w:keepNext w:val="0"/>
              <w:keepLines w:val="0"/>
              <w:pageBreakBefore w:val="0"/>
              <w:tabs>
                <w:tab w:val="left" w:pos="1280"/>
              </w:tabs>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2</w:t>
            </w:r>
            <w:r>
              <w:rPr>
                <w:rFonts w:hint="eastAsia" w:ascii="Times New Roman" w:hAnsi="Times New Roman" w:eastAsia="宋体" w:cs="Times New Roman"/>
                <w:b/>
                <w:kern w:val="0"/>
                <w:sz w:val="21"/>
                <w:szCs w:val="21"/>
                <w:lang w:eastAsia="zh-CN"/>
              </w:rPr>
              <w:t>.</w:t>
            </w:r>
            <w:r>
              <w:rPr>
                <w:rFonts w:hint="default" w:ascii="Times New Roman" w:hAnsi="Times New Roman" w:eastAsia="宋体" w:cs="Times New Roman"/>
                <w:b/>
                <w:kern w:val="0"/>
                <w:sz w:val="21"/>
                <w:szCs w:val="21"/>
              </w:rPr>
              <w:t>产业政策、</w:t>
            </w:r>
            <w:r>
              <w:rPr>
                <w:rFonts w:hint="eastAsia" w:ascii="Times New Roman" w:hAnsi="Times New Roman" w:eastAsia="宋体" w:cs="Times New Roman"/>
                <w:b/>
                <w:kern w:val="0"/>
                <w:sz w:val="21"/>
                <w:szCs w:val="21"/>
                <w:lang w:val="en-US" w:eastAsia="zh-CN"/>
              </w:rPr>
              <w:t>相关规划相符性</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2.1产业政策符合性</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建成后主要从事商品混凝土的生产，对照《产业结构调整指导目录(2019年本)》，该项目不属于鼓励类、限制类、淘汰类，故该项目为国家允许建设项目。该项目已取得山东省建设项目备案证明，项目代码2101-371771-04-01-757647，综上，该项目符合国家产业政策要求。</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2.2</w:t>
            </w:r>
            <w:r>
              <w:rPr>
                <w:rFonts w:hint="eastAsia" w:ascii="Times New Roman" w:hAnsi="Times New Roman" w:eastAsia="宋体" w:cs="Times New Roman"/>
                <w:b/>
                <w:sz w:val="21"/>
                <w:szCs w:val="21"/>
                <w:lang w:val="en-US" w:eastAsia="zh-CN"/>
              </w:rPr>
              <w:t>土地、规划符合性</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菏泽凯瑞投资管理有限公司</w:t>
            </w:r>
            <w:r>
              <w:rPr>
                <w:rFonts w:hint="eastAsia" w:ascii="Times New Roman" w:hAnsi="Times New Roman" w:eastAsia="宋体" w:cs="Times New Roman"/>
                <w:sz w:val="21"/>
                <w:szCs w:val="21"/>
                <w:lang w:eastAsia="zh-CN"/>
              </w:rPr>
              <w:t>凯瑞公司年产20万方混凝土项目一期工程</w:t>
            </w:r>
            <w:r>
              <w:rPr>
                <w:rFonts w:hint="default" w:ascii="Times New Roman" w:hAnsi="Times New Roman" w:eastAsia="宋体" w:cs="Times New Roman"/>
                <w:sz w:val="21"/>
                <w:szCs w:val="21"/>
              </w:rPr>
              <w:t>位于山东省菏泽市经济开发区陈集镇焦庄行政村的盐土窑厂，中铁十局集团第一工程有限公司负责雄商高铁与鲁南高铁并行段的建设，依协议，该站由菏泽凯瑞投资管理有限公司投资建设，该地用于建设商品混凝土项目，该地块选址符合菏泽市经济开发区陈集镇土地利用总体规划，该项目用地为工业建设用地。项目所在地水、电、道路交通等城市基础设施配套齐全，可以满足该项目建设与运营需要，项目选址合理。根据《限制用地项目目录》(2012年本)和《禁止用地项目目录(2012年本)》，该项目的建设不属于限制用地和禁止用地范围。</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2.3</w:t>
            </w:r>
            <w:r>
              <w:rPr>
                <w:rFonts w:hint="eastAsia" w:ascii="Times New Roman" w:hAnsi="Times New Roman" w:eastAsia="宋体" w:cs="Times New Roman"/>
                <w:b/>
                <w:sz w:val="21"/>
                <w:szCs w:val="21"/>
                <w:lang w:val="en-US" w:eastAsia="zh-CN"/>
              </w:rPr>
              <w:t>项目</w:t>
            </w:r>
            <w:r>
              <w:rPr>
                <w:rFonts w:hint="default" w:ascii="Times New Roman" w:hAnsi="Times New Roman" w:eastAsia="宋体" w:cs="Times New Roman"/>
                <w:b/>
                <w:sz w:val="21"/>
                <w:szCs w:val="21"/>
              </w:rPr>
              <w:t>选址合理性</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位于山东省菏泽市经济开发区陈集镇焦庄行政村的盐土窑厂，该项目所处位置具有交通方便，水、电供应有保障等有利因素。选址场地平坦，地质条件好，场地较为开阔，符合规划选址要求。项目正常营运时，对周围环境影响较小：且选址周围1km范围内没有文化古迹、风景名胜及重要生态功能区，所以该项目选址在严格落实污染防治措施的前提下是可行的。</w:t>
            </w:r>
          </w:p>
          <w:p>
            <w:pPr>
              <w:keepNext w:val="0"/>
              <w:keepLines w:val="0"/>
              <w:pageBreakBefore w:val="0"/>
              <w:tabs>
                <w:tab w:val="left" w:pos="1280"/>
              </w:tabs>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3</w:t>
            </w:r>
            <w:r>
              <w:rPr>
                <w:rFonts w:hint="eastAsia" w:ascii="Times New Roman" w:hAnsi="Times New Roman" w:eastAsia="宋体" w:cs="Times New Roman"/>
                <w:b/>
                <w:sz w:val="21"/>
                <w:szCs w:val="21"/>
                <w:lang w:eastAsia="zh-CN"/>
              </w:rPr>
              <w:t>.</w:t>
            </w:r>
            <w:r>
              <w:rPr>
                <w:rFonts w:hint="default" w:ascii="Times New Roman" w:hAnsi="Times New Roman" w:eastAsia="宋体" w:cs="Times New Roman"/>
                <w:b/>
                <w:bCs/>
                <w:sz w:val="21"/>
                <w:szCs w:val="21"/>
              </w:rPr>
              <w:t>环境质量现状</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环境空气：S0</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、N0</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eastAsia"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年均浓度或相应百分位数24h平均质量浓度能够满足</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环境空气质量标准》(GB3095-2012)二级标准，PM</w:t>
            </w:r>
            <w:r>
              <w:rPr>
                <w:rFonts w:hint="eastAsia"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rPr>
              <w:t>、PM</w:t>
            </w:r>
            <w:r>
              <w:rPr>
                <w:rFonts w:hint="eastAsia" w:ascii="Times New Roman" w:hAnsi="Times New Roman" w:eastAsia="宋体" w:cs="Times New Roman"/>
                <w:sz w:val="21"/>
                <w:szCs w:val="21"/>
                <w:vertAlign w:val="subscript"/>
                <w:lang w:val="en-US" w:eastAsia="zh-CN"/>
              </w:rPr>
              <w:t>2.5</w:t>
            </w:r>
            <w:r>
              <w:rPr>
                <w:rFonts w:hint="default" w:ascii="Times New Roman" w:hAnsi="Times New Roman" w:eastAsia="宋体" w:cs="Times New Roman"/>
                <w:sz w:val="21"/>
                <w:szCs w:val="21"/>
              </w:rPr>
              <w:t>、C</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年均浓度或相应百分位数24h或8h平均质量浓度不达标。</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地表水：项目所在区域地表水东鱼河段水质情况一般，能够满足《地表水环境质量标准》(GB3838-2002)IV类标准要求。</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声环境：该项目所在地声环境现状总体较好，符合《声环境质量标准》GB3096-2008)中的2类区标准要求。</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4</w:t>
            </w:r>
            <w:r>
              <w:rPr>
                <w:rFonts w:hint="eastAsia" w:ascii="Times New Roman" w:hAnsi="Times New Roman" w:eastAsia="宋体" w:cs="Times New Roman"/>
                <w:b/>
                <w:sz w:val="21"/>
                <w:szCs w:val="21"/>
                <w:lang w:eastAsia="zh-CN"/>
              </w:rPr>
              <w:t>.</w:t>
            </w:r>
            <w:r>
              <w:rPr>
                <w:rFonts w:hint="default" w:ascii="Times New Roman" w:hAnsi="Times New Roman" w:eastAsia="宋体" w:cs="Times New Roman"/>
                <w:b/>
                <w:sz w:val="21"/>
                <w:szCs w:val="21"/>
              </w:rPr>
              <w:t>大气环境影响分析结论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论拟建项目产生的污染物为颗粒物，根据预测，项目颗粒物短期浓度贡献值最大占标率小于100%，且本项目所有排放颗粒物的污染源在厂界外短期浓度贡献值叠加的最大浓度占标率≤100%。根据估算模式AERSCREEN预测无组织颗粒物浓度最大值为</w:t>
            </w:r>
            <w:r>
              <w:rPr>
                <w:rFonts w:hint="eastAsia"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rPr>
              <w:t>82951mg</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,可以满足《建材工业大气污染物排放标准》(DB37/2373-2018)表3中无组织排放监控点浓度限值要求。拟建项目无需设置大气环境防护距离，该项目卫生防护距离内无敏感点，项目建设符合卫生防护距离的要求。</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5.</w:t>
            </w:r>
            <w:r>
              <w:rPr>
                <w:rFonts w:hint="default" w:ascii="Times New Roman" w:hAnsi="Times New Roman" w:eastAsia="宋体" w:cs="Times New Roman"/>
                <w:b/>
                <w:sz w:val="21"/>
                <w:szCs w:val="21"/>
              </w:rPr>
              <w:t>地表水环境影响分析结论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项目清洗废水通过砂石分离器+废水回收系统拌匀处理，回用于生产，生活污水经厂区内化粪池处理后外运堆肥，不外排。</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综上所述，该项目对周围地表水环境影响较小。</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6.</w:t>
            </w:r>
            <w:r>
              <w:rPr>
                <w:rFonts w:hint="default" w:ascii="Times New Roman" w:hAnsi="Times New Roman" w:eastAsia="宋体" w:cs="Times New Roman"/>
                <w:b/>
                <w:sz w:val="21"/>
                <w:szCs w:val="21"/>
              </w:rPr>
              <w:t>地下水环境影响分析结论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清洗废水通过砂石分离器+废水回收系统拌匀处理，回用于生产，生活污水经厂区内化粪池处理后外运堆肥，不外排。项目污水水质简单，且水量很小，项目不处于当地水源地保护区之内，只要采取适当的防治措施，加强污水管线、化粪池的地面防渗，并加强管理，可消除建设项目对地下水的影响。</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7.</w:t>
            </w:r>
            <w:r>
              <w:rPr>
                <w:rFonts w:hint="default" w:ascii="Times New Roman" w:hAnsi="Times New Roman" w:eastAsia="宋体" w:cs="Times New Roman"/>
                <w:b/>
                <w:sz w:val="21"/>
                <w:szCs w:val="21"/>
              </w:rPr>
              <w:t>声环境影响分析结论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该项目运营期噪声主要来源于机械设备，在采取相关降噪措施后项目对厂界噪声贡献值满足《工业企业厂界环境噪声排放标准》</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GB12348-2008</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中的2类标准限值要求。</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8.</w:t>
            </w:r>
            <w:r>
              <w:rPr>
                <w:rFonts w:hint="default" w:ascii="Times New Roman" w:hAnsi="Times New Roman" w:eastAsia="宋体" w:cs="Times New Roman"/>
                <w:b/>
                <w:sz w:val="21"/>
                <w:szCs w:val="21"/>
              </w:rPr>
              <w:t>固废环境影响分析结论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布袋除尘器收集的粉尘回用于生产，袋除尘器更换废旧布袋外售综合利用，砂石分离器分离沉渣回用于生产，外加剂包装产生的废包装物外售综合利用，生活垃圾定点放置、集中收集，由环卫部门及时清运、无害化处理。以上措施有效可行，固废做到了无害化处理，对周围环境影响较小。</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9.</w:t>
            </w:r>
            <w:r>
              <w:rPr>
                <w:rFonts w:hint="default" w:ascii="Times New Roman" w:hAnsi="Times New Roman" w:eastAsia="宋体" w:cs="Times New Roman"/>
                <w:b/>
                <w:sz w:val="21"/>
                <w:szCs w:val="21"/>
              </w:rPr>
              <w:t>环境风险影响评价结论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该项目风险潜势为，环境风险评价开展简单分析。在落实上文风险防治措施的前提下，环境风险可防可控，风险事故对环境的不利影响可以得到有效的控制。</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b/>
                <w:sz w:val="21"/>
                <w:szCs w:val="21"/>
                <w:lang w:val="en-US" w:eastAsia="zh-CN"/>
              </w:rPr>
              <w:t>10.</w:t>
            </w:r>
            <w:r>
              <w:rPr>
                <w:rFonts w:hint="default" w:ascii="Times New Roman" w:hAnsi="Times New Roman" w:eastAsia="宋体" w:cs="Times New Roman"/>
                <w:b/>
                <w:sz w:val="21"/>
                <w:szCs w:val="21"/>
              </w:rPr>
              <w:t>土壤环境影响分析结论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该项目可不开展土壤环境影响评价工作。</w:t>
            </w:r>
          </w:p>
          <w:p>
            <w:pPr>
              <w:keepNext w:val="0"/>
              <w:keepLines w:val="0"/>
              <w:pageBreakBefore w:val="0"/>
              <w:kinsoku/>
              <w:wordWrap/>
              <w:overflowPunct/>
              <w:topLinePunct w:val="0"/>
              <w:autoSpaceDE/>
              <w:autoSpaceDN/>
              <w:bidi w:val="0"/>
              <w:spacing w:after="0" w:line="360" w:lineRule="auto"/>
              <w:ind w:firstLine="422" w:firstLineChars="200"/>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b/>
                <w:sz w:val="21"/>
                <w:szCs w:val="21"/>
                <w:lang w:val="en-US" w:eastAsia="zh-CN"/>
              </w:rPr>
              <w:t>11.</w:t>
            </w:r>
            <w:r>
              <w:rPr>
                <w:rFonts w:hint="default" w:ascii="Times New Roman" w:hAnsi="Times New Roman" w:eastAsia="宋体" w:cs="Times New Roman"/>
                <w:b/>
                <w:sz w:val="21"/>
                <w:szCs w:val="21"/>
              </w:rPr>
              <w:t>总量控制结论</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总量控制规划要求主要对6项污染物实行总量控制。具体如下：大气污染物：颗粒物、VOCs、SO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、NOx</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rPr>
              <w:t>水：COD和NH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项目废水为生活、生产污水，生活污水经化粪池处理后，外运堆肥，清洗废水通过砂石分离器+废水回收系统拌匀处理，回用于生产，无需申请COD、NH</w:t>
            </w:r>
            <w:r>
              <w:rPr>
                <w:rFonts w:hint="eastAsia"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-N总量控制指标。</w:t>
            </w:r>
          </w:p>
          <w:p>
            <w:pPr>
              <w:keepNext w:val="0"/>
              <w:keepLines w:val="0"/>
              <w:pageBreakBefore w:val="0"/>
              <w:kinsoku/>
              <w:wordWrap/>
              <w:overflowPunct/>
              <w:topLinePunct w:val="0"/>
              <w:autoSpaceDE/>
              <w:autoSpaceDN/>
              <w:bidi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该项目不涉及有组织颗粒物、VOCs、SO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、NOx排放，无需申请颗粒物、VOCs、SO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、NOx总量控制指标。</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lang w:val="en-US" w:eastAsia="zh-CN"/>
              </w:rPr>
              <w:t>综合</w:t>
            </w:r>
            <w:r>
              <w:rPr>
                <w:rFonts w:hint="default" w:ascii="Times New Roman" w:hAnsi="Times New Roman" w:eastAsia="宋体" w:cs="Times New Roman"/>
                <w:b/>
                <w:bCs/>
                <w:color w:val="000000"/>
                <w:sz w:val="21"/>
                <w:szCs w:val="21"/>
              </w:rPr>
              <w:t>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综上所述，该项目性质与周边环境功能区划相符，符合规划布局要求，选址合理可行。项目所在区域水环境质量现状一般，因此建设项目应认真执行环保“三同时”管理规定，把项目对环境的影响控制在最低限度。在切实落实本次评价提出的各项有关环保措施，并确保各种治理设施正常运转的前提下，项目对周围环境质量的影响不大，对周边环境敏感点不会带来影响，故项目的选址及建设从环境保护角度分析是可行的，在上述前提条件下，该项目的建设不致会对拟选址所在区域的环境造成大的影响。从环境保护角度分析，该项</w:t>
            </w:r>
            <w:r>
              <w:rPr>
                <w:rFonts w:hint="eastAsia" w:ascii="Times New Roman" w:hAnsi="Times New Roman" w:eastAsia="宋体" w:cs="Times New Roman"/>
                <w:color w:val="000000"/>
                <w:sz w:val="21"/>
                <w:szCs w:val="21"/>
                <w:lang w:val="en-US" w:eastAsia="zh-CN"/>
              </w:rPr>
              <w:t>目的建设是可行的。</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firstLine="422" w:firstLineChars="200"/>
              <w:jc w:val="both"/>
              <w:textAlignment w:val="auto"/>
              <w:outlineLvl w:val="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建设项目环境影响报告表审批部门审批决</w:t>
            </w:r>
          </w:p>
          <w:p>
            <w:pPr>
              <w:pStyle w:val="4"/>
              <w:widowControl/>
              <w:numPr>
                <w:ilvl w:val="0"/>
                <w:numId w:val="0"/>
              </w:numPr>
              <w:adjustRightInd w:val="0"/>
              <w:snapToGrid w:val="0"/>
              <w:spacing w:before="60" w:after="160" w:line="259" w:lineRule="auto"/>
              <w:ind w:right="113" w:rightChars="0"/>
              <w:rPr>
                <w:rFonts w:hint="eastAsia" w:eastAsia="微软雅黑"/>
                <w:lang w:eastAsia="zh-CN"/>
              </w:rPr>
            </w:pPr>
            <w:r>
              <w:rPr>
                <w:rFonts w:hint="eastAsia" w:eastAsia="微软雅黑"/>
                <w:lang w:eastAsia="zh-CN"/>
              </w:rPr>
              <w:drawing>
                <wp:inline distT="0" distB="0" distL="114300" distR="114300">
                  <wp:extent cx="5518150" cy="7589520"/>
                  <wp:effectExtent l="0" t="0" r="13970" b="0"/>
                  <wp:docPr id="1" name="图片 1" descr="微信图片_2022080514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05140902"/>
                          <pic:cNvPicPr>
                            <a:picLocks noChangeAspect="1"/>
                          </pic:cNvPicPr>
                        </pic:nvPicPr>
                        <pic:blipFill>
                          <a:blip r:embed="rId13"/>
                          <a:stretch>
                            <a:fillRect/>
                          </a:stretch>
                        </pic:blipFill>
                        <pic:spPr>
                          <a:xfrm>
                            <a:off x="0" y="0"/>
                            <a:ext cx="5518150" cy="7589520"/>
                          </a:xfrm>
                          <a:prstGeom prst="rect">
                            <a:avLst/>
                          </a:prstGeom>
                        </pic:spPr>
                      </pic:pic>
                    </a:graphicData>
                  </a:graphic>
                </wp:inline>
              </w:drawing>
            </w:r>
            <w:r>
              <w:rPr>
                <w:rFonts w:hint="eastAsia" w:eastAsia="微软雅黑"/>
                <w:lang w:eastAsia="zh-CN"/>
              </w:rPr>
              <w:drawing>
                <wp:inline distT="0" distB="0" distL="114300" distR="114300">
                  <wp:extent cx="5518150" cy="7589520"/>
                  <wp:effectExtent l="0" t="0" r="13970" b="0"/>
                  <wp:docPr id="4" name="图片 4" descr="微信图片_2022080514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8051409021"/>
                          <pic:cNvPicPr>
                            <a:picLocks noChangeAspect="1"/>
                          </pic:cNvPicPr>
                        </pic:nvPicPr>
                        <pic:blipFill>
                          <a:blip r:embed="rId14"/>
                          <a:stretch>
                            <a:fillRect/>
                          </a:stretch>
                        </pic:blipFill>
                        <pic:spPr>
                          <a:xfrm>
                            <a:off x="0" y="0"/>
                            <a:ext cx="5518150" cy="7589520"/>
                          </a:xfrm>
                          <a:prstGeom prst="rect">
                            <a:avLst/>
                          </a:prstGeom>
                        </pic:spPr>
                      </pic:pic>
                    </a:graphicData>
                  </a:graphic>
                </wp:inline>
              </w:drawing>
            </w:r>
            <w:r>
              <w:rPr>
                <w:rFonts w:hint="eastAsia" w:eastAsia="微软雅黑"/>
                <w:lang w:eastAsia="zh-CN"/>
              </w:rPr>
              <w:drawing>
                <wp:inline distT="0" distB="0" distL="114300" distR="114300">
                  <wp:extent cx="5518150" cy="7589520"/>
                  <wp:effectExtent l="0" t="0" r="13970" b="0"/>
                  <wp:docPr id="5" name="图片 5" descr="微信图片_2022080514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051409022"/>
                          <pic:cNvPicPr>
                            <a:picLocks noChangeAspect="1"/>
                          </pic:cNvPicPr>
                        </pic:nvPicPr>
                        <pic:blipFill>
                          <a:blip r:embed="rId15"/>
                          <a:stretch>
                            <a:fillRect/>
                          </a:stretch>
                        </pic:blipFill>
                        <pic:spPr>
                          <a:xfrm>
                            <a:off x="0" y="0"/>
                            <a:ext cx="5518150" cy="7589520"/>
                          </a:xfrm>
                          <a:prstGeom prst="rect">
                            <a:avLst/>
                          </a:prstGeom>
                        </pic:spPr>
                      </pic:pic>
                    </a:graphicData>
                  </a:graphic>
                </wp:inline>
              </w:drawing>
            </w:r>
            <w:r>
              <w:rPr>
                <w:rFonts w:hint="eastAsia" w:eastAsia="微软雅黑"/>
                <w:lang w:eastAsia="zh-CN"/>
              </w:rPr>
              <w:drawing>
                <wp:inline distT="0" distB="0" distL="114300" distR="114300">
                  <wp:extent cx="5518150" cy="7589520"/>
                  <wp:effectExtent l="0" t="0" r="13970" b="0"/>
                  <wp:docPr id="6" name="图片 6" descr="微信图片_2022080514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8051409023"/>
                          <pic:cNvPicPr>
                            <a:picLocks noChangeAspect="1"/>
                          </pic:cNvPicPr>
                        </pic:nvPicPr>
                        <pic:blipFill>
                          <a:blip r:embed="rId16"/>
                          <a:stretch>
                            <a:fillRect/>
                          </a:stretch>
                        </pic:blipFill>
                        <pic:spPr>
                          <a:xfrm>
                            <a:off x="0" y="0"/>
                            <a:ext cx="5518150" cy="75895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三、环境保护措施落实情况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1. 环保措施落实情况汇总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对照原环评报告提出的环保措施，项目运营期环保措施落实情况汇总见表4.1。</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 xml:space="preserve">表4.1 </w:t>
            </w:r>
            <w:r>
              <w:rPr>
                <w:rFonts w:hint="eastAsia"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项目运营期环保措施落实情况汇总表</w:t>
            </w:r>
          </w:p>
          <w:tbl>
            <w:tblPr>
              <w:tblStyle w:val="13"/>
              <w:tblpPr w:leftFromText="181" w:rightFromText="181" w:vertAnchor="text" w:horzAnchor="page" w:tblpXSpec="center" w:tblpY="1"/>
              <w:tblOverlap w:val="never"/>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032"/>
              <w:gridCol w:w="2910"/>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项目环评提出的环保措施要求</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环保措施实际落实情况调查</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bidi w:val="0"/>
                    <w:adjustRightIn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bidi w:val="0"/>
                    <w:adjustRightIn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采取“雨污分流”原则，设计、建设给排水系统。项目运营期污水主要为生活污水、生产清洗废水以及洗车平台废水，生活污水经厂区化粪池处理后，定期清理用作农肥。生产清洗废水和洗车平台冲洗废水进入废水收集池经砂石分离器分离后通过废水回收系统回用于生产。地下水保护与污染防治按照“源头控制、分区防治、污染监控、应急响应”的原则，按照有关设计规范和技术规定，对化粪池、沉淀池、危废暂存间等采取严格防渗措施，防止污染地下水和土壤。</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经调查，</w:t>
                  </w:r>
                  <w:r>
                    <w:rPr>
                      <w:rFonts w:hint="default" w:ascii="Times New Roman" w:hAnsi="Times New Roman" w:eastAsia="宋体" w:cs="Times New Roman"/>
                      <w:color w:val="auto"/>
                      <w:sz w:val="21"/>
                      <w:szCs w:val="21"/>
                    </w:rPr>
                    <w:t>厂区采取“雨污分流”原则，设计、建设给排水系统。项目运营期污水主要为生活污水、生产清洗废水以及洗车平台废水，生活污水经厂区化粪池处理后，定期清理用作农肥。生产清洗废水和洗车平台冲洗废水进入废水收集池经砂石分离器分离后通过废水回收系统回用于生产。地下水保护与污染防治按照“源头控制、分区防治、污染监控、应急响应”的原则，按照有关设计规范和技术规定，对化粪池、沉淀池、危废暂存间等采取严格防渗措施，防止污染地下水和土壤。</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bidi w:val="0"/>
                    <w:adjustRightIn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运营期废气主要为原料输送、投料过程产生的粉尘、原料仓库产生的扬尘、筒仓呼吸粉尘、搅拌粉尘以及车辆运输动力起尘。物料筒仓、搅拌站及物料输送投料装置须全密闭，简仓顶部各配置1台布袋除尘器，筒仓呼吸粉尘经仓顶自带的脉冲布袋除尘器处理后无组织排放；三台搅拌站产生的粉尘分别通过集气罩收集后</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布袋除尘器处理后无组织排放至密闭生产车间，汽车动力及物料装卸等过程起尘采取水喷淋装置、厂区路面硬化、设置封闭式原料库等措施处理后无组织排放，粉尘无组织排放须满足《建材工业大气污染物排放标准》(DB37/2373-2018)中表3中无组织排放监控点浓度限值要求。</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运营期废气主要为原料输送、投料过程产生的粉尘、原料仓库产生的扬尘、筒仓呼吸粉尘、搅拌粉尘以及车辆运输动力起尘。物料筒仓、搅拌站及物料输送投料装置须全密闭，简仓顶部各配置1台布袋除尘器，筒仓呼吸粉尘经仓顶自带的脉冲布袋除尘器处理后无组织排放；</w:t>
                  </w:r>
                  <w:r>
                    <w:rPr>
                      <w:rFonts w:hint="eastAsia" w:ascii="Times New Roman" w:hAnsi="Times New Roman" w:eastAsia="宋体" w:cs="Times New Roman"/>
                      <w:sz w:val="21"/>
                      <w:szCs w:val="21"/>
                      <w:lang w:eastAsia="zh-CN"/>
                    </w:rPr>
                    <w:t>目前已建设两</w:t>
                  </w:r>
                  <w:r>
                    <w:rPr>
                      <w:rFonts w:hint="default" w:ascii="Times New Roman" w:hAnsi="Times New Roman" w:eastAsia="宋体" w:cs="Times New Roman"/>
                      <w:sz w:val="21"/>
                      <w:szCs w:val="21"/>
                    </w:rPr>
                    <w:t>台搅拌站产生的粉尘分别通过集气罩收集后经布袋除尘器处理后无组织排放至密闭生产车间，汽车动力及物料装卸等过程起尘采取水喷淋装置、厂区路面硬化、设置封闭式原料库等措施处理后无组织排放，粉尘无组织排放须满足《建材工业大气污染物排放标准》(DB37/2373-2018)中表3中无组织排放监控点浓度限值要求。</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eastAsia"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val="en-US" w:eastAsia="zh-CN" w:bidi="ar"/>
                    </w:rPr>
                    <w:t>3</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按照“资源化、减量化、无害化”的处置原则，落实各类固体废物的收集、处理。布袋除尘器收尘、砂石分离器分离的沉渣回用于生产；更换的废旧布袋、外加剂包装物外售综合利用，生活垃圾由环卫部门定期清运。一般固废的收集和暂存须满足《一般工业固体废物贮存、处置场污染控制标准》(GB18599-2001)及其修改单要求。</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根据现场调查，固体废物按照“资源化、减量化、无害化”的处置原则，落实各类固体废物的收集、处理。布袋除尘器收尘、砂石分离器分离的沉渣回用于生产；更换的废旧布袋、外加剂包装物外售综合利用，生活垃圾由环卫部门定期清运。一般固废的收集和暂存须满足《一般工业固体废物贮存</w:t>
                  </w:r>
                  <w:r>
                    <w:rPr>
                      <w:rFonts w:hint="eastAsia" w:ascii="Times New Roman" w:hAnsi="Times New Roman" w:eastAsia="宋体" w:cs="Times New Roman"/>
                      <w:sz w:val="21"/>
                      <w:szCs w:val="21"/>
                      <w:lang w:eastAsia="zh-CN"/>
                    </w:rPr>
                    <w:t>和填埋</w:t>
                  </w:r>
                  <w:r>
                    <w:rPr>
                      <w:rFonts w:hint="default" w:ascii="Times New Roman" w:hAnsi="Times New Roman" w:eastAsia="宋体" w:cs="Times New Roman"/>
                      <w:sz w:val="21"/>
                      <w:szCs w:val="21"/>
                    </w:rPr>
                    <w:t>污染控制标准》(GB18599-20</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4</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项目运营期采用低噪声设备，采取设备减振、风机安装消音机、增加绿化等措施，噪声须满足《工业企业厂界环境噪声排放标准》(GB12348-2008)2类标准要求。</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ind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根据现场调查，项目运营期采用低噪声设备，采取设备减振、风机安装消音机、增加绿化等措施，噪声须满足《工业企业厂界环境噪声排放标准》(GB12348-2008)2类标准要求。</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5</w:t>
                  </w:r>
                </w:p>
              </w:tc>
              <w:tc>
                <w:tcPr>
                  <w:tcW w:w="3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报告表须按照《环境影响评价技术导则大气环境》(HJ2.2-2018)、《环境空气质量标准》(GB3095-2012)相关标准要求设置大气环境防护距离。</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ind w:firstLine="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根据现场调查，</w:t>
                  </w:r>
                  <w:r>
                    <w:rPr>
                      <w:rFonts w:hint="eastAsia" w:ascii="Times New Roman" w:hAnsi="Times New Roman" w:eastAsia="宋体" w:cs="Times New Roman"/>
                      <w:sz w:val="21"/>
                      <w:szCs w:val="21"/>
                      <w:lang w:eastAsia="zh-CN"/>
                    </w:rPr>
                    <w:t>满足环评要求大气</w:t>
                  </w:r>
                  <w:r>
                    <w:rPr>
                      <w:rFonts w:hint="default" w:ascii="Times New Roman" w:hAnsi="Times New Roman" w:eastAsia="宋体" w:cs="Times New Roman"/>
                      <w:sz w:val="21"/>
                      <w:szCs w:val="21"/>
                    </w:rPr>
                    <w:t>环境防护距离。</w:t>
                  </w:r>
                </w:p>
              </w:tc>
              <w:tc>
                <w:tcPr>
                  <w:tcW w:w="21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已落实</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outlineLvl w:val="1"/>
              <w:rPr>
                <w:rFonts w:eastAsia="仿宋_GB2312"/>
                <w:color w:val="000000"/>
                <w:sz w:val="21"/>
                <w:szCs w:val="21"/>
              </w:rPr>
            </w:pPr>
          </w:p>
        </w:tc>
      </w:tr>
    </w:tbl>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000000"/>
                <w:sz w:val="21"/>
                <w:szCs w:val="21"/>
              </w:rPr>
            </w:pPr>
            <w:r>
              <w:rPr>
                <w:rFonts w:hint="eastAsia" w:ascii="宋体" w:hAnsi="宋体" w:eastAsia="宋体"/>
                <w:color w:val="000000"/>
                <w:sz w:val="21"/>
                <w:szCs w:val="21"/>
              </w:rPr>
              <w:t>验收监测质量保证及质量控制：</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sz w:val="21"/>
                <w:szCs w:val="21"/>
              </w:rPr>
              <w:t>1.</w:t>
            </w:r>
            <w:r>
              <w:rPr>
                <w:rFonts w:hint="eastAsia" w:ascii="宋体" w:hAnsi="宋体" w:eastAsia="宋体" w:cs="宋体"/>
                <w:b/>
                <w:bCs/>
                <w:color w:val="000000"/>
                <w:sz w:val="21"/>
                <w:szCs w:val="21"/>
                <w:lang w:val="en-US" w:eastAsia="zh-CN"/>
              </w:rPr>
              <w:t>验收监测分析方法</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 xml:space="preserve">1、环保设施竣工验收监测中使用的布点、采样、分析测试方法，首先选择目前适用的国家和行业标准分析方法、监测技术规范，其次是国家环保总局推荐的统一分析方法或试行分析方法以及有关规定等，确保各监测点位布设科学、可比，验收监测分析结果的准确性、可靠性。监测过程中使用的仪器设备符合国家有关标准和技术要求并经检定合格在有效期内。 </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 xml:space="preserve">2、环保设施竣工验收的质量保证和质量控制，按国家有关规定、监测技术规范和有关质量控制手册进行。 </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3、参加环保设施竣工验收监测采样和测试的人员，经过考核并持有合格证书。</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 xml:space="preserve">、气体监测分析过程中的质量保证和质量控制：采样器在进现场前对气体分析、采样器流量计等进行校核。 </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 xml:space="preserve">、 噪声监测分析过程中的质量保证和质量控制：监测时使用经计量部门检定、并在有效使用期内的声级计。 </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lang w:val="en-US" w:eastAsia="zh-CN"/>
              </w:rPr>
              <w:t>、验收监测的采样记录及分析测试结果，按国家标准和监测技术规范有关要求进行数据处理和填报，并严格实行三级审核</w:t>
            </w:r>
            <w:r>
              <w:rPr>
                <w:rFonts w:hint="eastAsia" w:ascii="Times New Roman" w:hAnsi="Times New Roman" w:cs="Times New Roman"/>
                <w:color w:val="000000"/>
                <w:sz w:val="21"/>
                <w:szCs w:val="21"/>
                <w:lang w:val="en-US" w:eastAsia="zh-CN"/>
              </w:rPr>
              <w:t>。</w:t>
            </w:r>
          </w:p>
          <w:p>
            <w:pPr>
              <w:pStyle w:val="17"/>
              <w:spacing w:before="62" w:beforeLines="20" w:line="360" w:lineRule="auto"/>
              <w:ind w:left="360" w:firstLine="0" w:firstLineChars="0"/>
              <w:rPr>
                <w:rFonts w:hint="eastAsia" w:eastAsia="仿宋_GB2312"/>
                <w:color w:val="000000"/>
                <w:szCs w:val="21"/>
              </w:rPr>
            </w:pPr>
          </w:p>
          <w:p>
            <w:pPr>
              <w:pStyle w:val="17"/>
              <w:spacing w:before="62" w:beforeLines="20" w:line="360" w:lineRule="auto"/>
              <w:ind w:left="360" w:firstLine="0" w:firstLineChars="0"/>
              <w:rPr>
                <w:rFonts w:hint="eastAsia" w:eastAsia="仿宋_GB2312"/>
                <w:color w:val="000000"/>
                <w:szCs w:val="21"/>
              </w:rPr>
            </w:pPr>
          </w:p>
          <w:p>
            <w:pPr>
              <w:pStyle w:val="17"/>
              <w:spacing w:before="62" w:beforeLines="20" w:line="360" w:lineRule="auto"/>
              <w:ind w:left="360" w:firstLine="0" w:firstLineChars="0"/>
              <w:rPr>
                <w:rFonts w:hint="eastAsia" w:eastAsia="仿宋_GB2312"/>
                <w:color w:val="000000"/>
                <w:szCs w:val="21"/>
              </w:rPr>
            </w:pPr>
          </w:p>
          <w:p>
            <w:pPr>
              <w:pStyle w:val="17"/>
              <w:spacing w:before="62" w:beforeLines="20" w:line="360" w:lineRule="auto"/>
              <w:ind w:left="360" w:firstLine="0" w:firstLineChars="0"/>
              <w:rPr>
                <w:rFonts w:hint="eastAsia" w:eastAsia="仿宋_GB2312"/>
                <w:color w:val="000000"/>
                <w:szCs w:val="21"/>
              </w:rPr>
            </w:pPr>
          </w:p>
          <w:p>
            <w:pPr>
              <w:pStyle w:val="17"/>
              <w:spacing w:before="62" w:beforeLines="20" w:line="360" w:lineRule="auto"/>
              <w:ind w:left="360" w:firstLine="0" w:firstLineChars="0"/>
              <w:rPr>
                <w:rFonts w:hint="eastAsia" w:eastAsia="仿宋_GB2312"/>
                <w:color w:val="000000"/>
                <w:szCs w:val="21"/>
              </w:rPr>
            </w:pPr>
          </w:p>
          <w:p>
            <w:pPr>
              <w:pStyle w:val="17"/>
              <w:spacing w:before="62" w:beforeLines="20" w:line="360" w:lineRule="auto"/>
              <w:ind w:left="360" w:firstLine="0" w:firstLineChars="0"/>
              <w:rPr>
                <w:rFonts w:eastAsia="仿宋_GB2312"/>
                <w:color w:val="000000"/>
                <w:szCs w:val="21"/>
              </w:rPr>
            </w:pPr>
          </w:p>
        </w:tc>
      </w:tr>
    </w:tbl>
    <w:p>
      <w:pPr>
        <w:spacing w:line="360" w:lineRule="auto"/>
        <w:rPr>
          <w:rFonts w:hint="eastAsia" w:eastAsia="仿宋_GB2312"/>
          <w:color w:val="000000"/>
          <w:sz w:val="21"/>
          <w:szCs w:val="21"/>
        </w:rPr>
      </w:pPr>
    </w:p>
    <w:p>
      <w:pPr>
        <w:spacing w:line="360" w:lineRule="auto"/>
        <w:rPr>
          <w:rFonts w:hint="eastAsia" w:eastAsia="仿宋_GB2312"/>
          <w:color w:val="000000"/>
          <w:sz w:val="21"/>
          <w:szCs w:val="21"/>
        </w:rPr>
      </w:pPr>
    </w:p>
    <w:p>
      <w:pPr>
        <w:spacing w:line="360" w:lineRule="auto"/>
        <w:rPr>
          <w:rFonts w:hint="eastAsia" w:eastAsia="仿宋_GB2312"/>
          <w:color w:val="000000"/>
          <w:sz w:val="21"/>
          <w:szCs w:val="21"/>
        </w:rPr>
      </w:pPr>
    </w:p>
    <w:p>
      <w:pPr>
        <w:spacing w:line="360" w:lineRule="auto"/>
        <w:rPr>
          <w:rFonts w:hint="eastAsia" w:eastAsia="仿宋_GB2312"/>
          <w:color w:val="000000"/>
          <w:sz w:val="21"/>
          <w:szCs w:val="21"/>
        </w:rPr>
      </w:pPr>
    </w:p>
    <w:p>
      <w:pPr>
        <w:spacing w:line="360" w:lineRule="auto"/>
        <w:rPr>
          <w:rFonts w:hint="eastAsia" w:eastAsia="仿宋_GB2312"/>
          <w:color w:val="000000"/>
          <w:sz w:val="21"/>
          <w:szCs w:val="21"/>
        </w:rPr>
      </w:pPr>
    </w:p>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六</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5"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000000"/>
                <w:sz w:val="21"/>
                <w:szCs w:val="21"/>
              </w:rPr>
            </w:pPr>
            <w:r>
              <w:rPr>
                <w:rFonts w:hint="eastAsia" w:ascii="宋体" w:hAnsi="宋体" w:eastAsia="宋体"/>
                <w:color w:val="000000"/>
                <w:sz w:val="21"/>
                <w:szCs w:val="21"/>
              </w:rPr>
              <w:t>验收监测内容：</w:t>
            </w:r>
          </w:p>
          <w:p>
            <w:pPr>
              <w:keepNext w:val="0"/>
              <w:keepLines w:val="0"/>
              <w:pageBreakBefore w:val="0"/>
              <w:widowControl/>
              <w:kinsoku/>
              <w:wordWrap/>
              <w:overflowPunct/>
              <w:topLinePunct w:val="0"/>
              <w:bidi w:val="0"/>
              <w:adjustRightInd w:val="0"/>
              <w:snapToGrid w:val="0"/>
              <w:spacing w:after="0" w:line="360" w:lineRule="auto"/>
              <w:ind w:left="0" w:firstLine="422" w:firstLineChars="200"/>
              <w:textAlignment w:val="auto"/>
              <w:outlineLvl w:val="1"/>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1.废气验收监测</w:t>
            </w:r>
          </w:p>
          <w:p>
            <w:pPr>
              <w:keepNext w:val="0"/>
              <w:keepLines w:val="0"/>
              <w:pageBreakBefore w:val="0"/>
              <w:widowControl/>
              <w:kinsoku/>
              <w:wordWrap/>
              <w:overflowPunct/>
              <w:topLinePunct w:val="0"/>
              <w:bidi w:val="0"/>
              <w:adjustRightInd w:val="0"/>
              <w:snapToGrid w:val="0"/>
              <w:spacing w:after="0" w:line="360" w:lineRule="auto"/>
              <w:ind w:left="0" w:firstLine="420" w:firstLineChars="200"/>
              <w:jc w:val="left"/>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本次验收在厂界主导风向上游、下游设置无组织排放监测点位。</w:t>
            </w:r>
          </w:p>
          <w:p>
            <w:pPr>
              <w:keepNext w:val="0"/>
              <w:keepLines w:val="0"/>
              <w:pageBreakBefore w:val="0"/>
              <w:widowControl/>
              <w:kinsoku/>
              <w:wordWrap/>
              <w:overflowPunct/>
              <w:topLinePunct w:val="0"/>
              <w:bidi w:val="0"/>
              <w:adjustRightInd w:val="0"/>
              <w:snapToGrid w:val="0"/>
              <w:spacing w:after="0" w:line="360" w:lineRule="auto"/>
              <w:ind w:lef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监测项目及样品数见表6.1。</w:t>
            </w:r>
          </w:p>
          <w:p>
            <w:pPr>
              <w:keepNext w:val="0"/>
              <w:keepLines w:val="0"/>
              <w:pageBreakBefore w:val="0"/>
              <w:widowControl/>
              <w:kinsoku/>
              <w:wordWrap/>
              <w:overflowPunct/>
              <w:topLinePunct w:val="0"/>
              <w:autoSpaceDE/>
              <w:autoSpaceDN/>
              <w:bidi w:val="0"/>
              <w:adjustRightInd w:val="0"/>
              <w:snapToGrid w:val="0"/>
              <w:spacing w:after="0"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 xml:space="preserve">表6.1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废气监测点位、项目及样品数</w:t>
            </w:r>
          </w:p>
          <w:tbl>
            <w:tblPr>
              <w:tblStyle w:val="13"/>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2"/>
              <w:gridCol w:w="3304"/>
              <w:gridCol w:w="1790"/>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21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测点名称</w:t>
                  </w:r>
                </w:p>
              </w:tc>
              <w:tc>
                <w:tcPr>
                  <w:tcW w:w="3304"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监测点位置</w:t>
                  </w:r>
                </w:p>
              </w:tc>
              <w:tc>
                <w:tcPr>
                  <w:tcW w:w="1790"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频次</w:t>
                  </w:r>
                </w:p>
              </w:tc>
              <w:tc>
                <w:tcPr>
                  <w:tcW w:w="2451"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监测项目及样品数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212"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无组织废气</w:t>
                  </w:r>
                </w:p>
              </w:tc>
              <w:tc>
                <w:tcPr>
                  <w:tcW w:w="3304"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rPr>
                    <w:t>上风向监测点</w:t>
                  </w:r>
                  <w:r>
                    <w:rPr>
                      <w:rFonts w:hint="eastAsia" w:ascii="Times New Roman" w:hAnsi="Times New Roman" w:eastAsia="宋体" w:cs="Times New Roman"/>
                      <w:lang w:val="en-US" w:eastAsia="zh-CN"/>
                    </w:rPr>
                    <w:t>1</w:t>
                  </w:r>
                </w:p>
              </w:tc>
              <w:tc>
                <w:tcPr>
                  <w:tcW w:w="1790"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4</w:t>
                  </w:r>
                  <w:r>
                    <w:rPr>
                      <w:rFonts w:hint="default" w:ascii="Times New Roman" w:hAnsi="Times New Roman" w:eastAsia="宋体" w:cs="Times New Roman"/>
                      <w:kern w:val="0"/>
                    </w:rPr>
                    <w:t>次／日·2天</w:t>
                  </w:r>
                </w:p>
              </w:tc>
              <w:tc>
                <w:tcPr>
                  <w:tcW w:w="2451"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eastAsia" w:ascii="Times New Roman" w:hAnsi="Times New Roman" w:eastAsia="宋体" w:cs="Times New Roman"/>
                      <w:kern w:val="0"/>
                      <w:lang w:val="en-US" w:eastAsia="zh-CN"/>
                    </w:rPr>
                    <w:t>8</w:t>
                  </w:r>
                  <w:r>
                    <w:rPr>
                      <w:rFonts w:hint="default" w:ascii="Times New Roman" w:hAnsi="Times New Roman" w:eastAsia="宋体" w:cs="Times New Roman"/>
                      <w:kern w:val="0"/>
                    </w:rPr>
                    <w:t>（</w:t>
                  </w:r>
                  <w:r>
                    <w:rPr>
                      <w:rFonts w:hint="default" w:ascii="Times New Roman" w:hAnsi="Times New Roman" w:eastAsia="宋体" w:cs="Times New Roman"/>
                    </w:rPr>
                    <w:t>颗粒物</w:t>
                  </w:r>
                  <w:r>
                    <w:rPr>
                      <w:rFonts w:hint="default" w:ascii="Times New Roman" w:hAnsi="Times New Roman" w:eastAsia="宋体"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jc w:val="center"/>
              </w:trPr>
              <w:tc>
                <w:tcPr>
                  <w:tcW w:w="1212"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p>
              </w:tc>
              <w:tc>
                <w:tcPr>
                  <w:tcW w:w="3304"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eastAsia" w:ascii="Times New Roman" w:hAnsi="Times New Roman" w:eastAsia="宋体" w:cs="Times New Roman"/>
                      <w:lang w:eastAsia="zh-CN"/>
                    </w:rPr>
                  </w:pPr>
                  <w:r>
                    <w:rPr>
                      <w:rFonts w:hint="default" w:ascii="Times New Roman" w:hAnsi="Times New Roman" w:eastAsia="宋体" w:cs="Times New Roman"/>
                    </w:rPr>
                    <w:t>下风向监测点</w:t>
                  </w:r>
                  <w:r>
                    <w:rPr>
                      <w:rFonts w:hint="eastAsia" w:ascii="Times New Roman" w:hAnsi="Times New Roman" w:eastAsia="宋体" w:cs="Times New Roman"/>
                      <w:lang w:val="en-US" w:eastAsia="zh-CN"/>
                    </w:rPr>
                    <w:t>2</w:t>
                  </w:r>
                </w:p>
              </w:tc>
              <w:tc>
                <w:tcPr>
                  <w:tcW w:w="1790"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4</w:t>
                  </w:r>
                  <w:r>
                    <w:rPr>
                      <w:rFonts w:hint="default" w:ascii="Times New Roman" w:hAnsi="Times New Roman" w:eastAsia="宋体" w:cs="Times New Roman"/>
                      <w:kern w:val="0"/>
                    </w:rPr>
                    <w:t>次／日·2天</w:t>
                  </w:r>
                </w:p>
              </w:tc>
              <w:tc>
                <w:tcPr>
                  <w:tcW w:w="2451"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8</w:t>
                  </w:r>
                  <w:r>
                    <w:rPr>
                      <w:rFonts w:hint="default" w:ascii="Times New Roman" w:hAnsi="Times New Roman" w:eastAsia="宋体" w:cs="Times New Roman"/>
                      <w:kern w:val="0"/>
                    </w:rPr>
                    <w:t>（</w:t>
                  </w:r>
                  <w:r>
                    <w:rPr>
                      <w:rFonts w:hint="default" w:ascii="Times New Roman" w:hAnsi="Times New Roman" w:eastAsia="宋体" w:cs="Times New Roman"/>
                    </w:rPr>
                    <w:t>颗粒物</w:t>
                  </w:r>
                  <w:r>
                    <w:rPr>
                      <w:rFonts w:hint="default" w:ascii="Times New Roman" w:hAnsi="Times New Roman" w:eastAsia="宋体"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1212"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p>
              </w:tc>
              <w:tc>
                <w:tcPr>
                  <w:tcW w:w="3304"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eastAsia" w:ascii="Times New Roman" w:hAnsi="Times New Roman" w:eastAsia="宋体" w:cs="Times New Roman"/>
                      <w:lang w:eastAsia="zh-CN"/>
                    </w:rPr>
                  </w:pPr>
                  <w:r>
                    <w:rPr>
                      <w:rFonts w:hint="default" w:ascii="Times New Roman" w:hAnsi="Times New Roman" w:eastAsia="宋体" w:cs="Times New Roman"/>
                    </w:rPr>
                    <w:t>下风向监测点</w:t>
                  </w:r>
                  <w:r>
                    <w:rPr>
                      <w:rFonts w:hint="eastAsia" w:ascii="Times New Roman" w:hAnsi="Times New Roman" w:eastAsia="宋体" w:cs="Times New Roman"/>
                      <w:lang w:val="en-US" w:eastAsia="zh-CN"/>
                    </w:rPr>
                    <w:t>3</w:t>
                  </w:r>
                </w:p>
              </w:tc>
              <w:tc>
                <w:tcPr>
                  <w:tcW w:w="1790"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4</w:t>
                  </w:r>
                  <w:r>
                    <w:rPr>
                      <w:rFonts w:hint="default" w:ascii="Times New Roman" w:hAnsi="Times New Roman" w:eastAsia="宋体" w:cs="Times New Roman"/>
                      <w:kern w:val="0"/>
                    </w:rPr>
                    <w:t>次／日·2天</w:t>
                  </w:r>
                </w:p>
              </w:tc>
              <w:tc>
                <w:tcPr>
                  <w:tcW w:w="2451"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8</w:t>
                  </w:r>
                  <w:r>
                    <w:rPr>
                      <w:rFonts w:hint="default" w:ascii="Times New Roman" w:hAnsi="Times New Roman" w:eastAsia="宋体" w:cs="Times New Roman"/>
                      <w:kern w:val="0"/>
                    </w:rPr>
                    <w:t>（</w:t>
                  </w:r>
                  <w:r>
                    <w:rPr>
                      <w:rFonts w:hint="default" w:ascii="Times New Roman" w:hAnsi="Times New Roman" w:eastAsia="宋体" w:cs="Times New Roman"/>
                    </w:rPr>
                    <w:t>颗粒物</w:t>
                  </w:r>
                  <w:r>
                    <w:rPr>
                      <w:rFonts w:hint="default" w:ascii="Times New Roman" w:hAnsi="Times New Roman" w:eastAsia="宋体"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1212"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p>
              </w:tc>
              <w:tc>
                <w:tcPr>
                  <w:tcW w:w="3304"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eastAsia" w:ascii="Times New Roman" w:hAnsi="Times New Roman" w:eastAsia="宋体" w:cs="Times New Roman"/>
                      <w:lang w:eastAsia="zh-CN"/>
                    </w:rPr>
                  </w:pPr>
                  <w:r>
                    <w:rPr>
                      <w:rFonts w:hint="default" w:ascii="Times New Roman" w:hAnsi="Times New Roman" w:eastAsia="宋体" w:cs="Times New Roman"/>
                    </w:rPr>
                    <w:t>下风向监测点</w:t>
                  </w:r>
                  <w:r>
                    <w:rPr>
                      <w:rFonts w:hint="eastAsia" w:ascii="Times New Roman" w:hAnsi="Times New Roman" w:eastAsia="宋体" w:cs="Times New Roman"/>
                      <w:lang w:val="en-US" w:eastAsia="zh-CN"/>
                    </w:rPr>
                    <w:t>4</w:t>
                  </w:r>
                </w:p>
              </w:tc>
              <w:tc>
                <w:tcPr>
                  <w:tcW w:w="1790"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4</w:t>
                  </w:r>
                  <w:r>
                    <w:rPr>
                      <w:rFonts w:hint="default" w:ascii="Times New Roman" w:hAnsi="Times New Roman" w:eastAsia="宋体" w:cs="Times New Roman"/>
                      <w:kern w:val="0"/>
                    </w:rPr>
                    <w:t>次／日·2天</w:t>
                  </w:r>
                </w:p>
              </w:tc>
              <w:tc>
                <w:tcPr>
                  <w:tcW w:w="2451" w:type="dxa"/>
                  <w:noWrap w:val="0"/>
                  <w:vAlign w:val="center"/>
                </w:tcPr>
                <w:p>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rPr>
                  </w:pPr>
                  <w:r>
                    <w:rPr>
                      <w:rFonts w:hint="eastAsia" w:ascii="Times New Roman" w:hAnsi="Times New Roman" w:eastAsia="宋体" w:cs="Times New Roman"/>
                      <w:kern w:val="0"/>
                      <w:lang w:val="en-US" w:eastAsia="zh-CN"/>
                    </w:rPr>
                    <w:t>8</w:t>
                  </w:r>
                  <w:r>
                    <w:rPr>
                      <w:rFonts w:hint="default" w:ascii="Times New Roman" w:hAnsi="Times New Roman" w:eastAsia="宋体" w:cs="Times New Roman"/>
                      <w:kern w:val="0"/>
                    </w:rPr>
                    <w:t>（</w:t>
                  </w:r>
                  <w:r>
                    <w:rPr>
                      <w:rFonts w:hint="default" w:ascii="Times New Roman" w:hAnsi="Times New Roman" w:eastAsia="宋体" w:cs="Times New Roman"/>
                    </w:rPr>
                    <w:t>颗粒物</w:t>
                  </w:r>
                  <w:r>
                    <w:rPr>
                      <w:rFonts w:hint="default" w:ascii="Times New Roman" w:hAnsi="Times New Roman" w:eastAsia="宋体"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6306"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rPr>
                  </w:pPr>
                  <w:r>
                    <w:rPr>
                      <w:rFonts w:hint="default" w:ascii="Times New Roman" w:hAnsi="Times New Roman" w:eastAsia="宋体" w:cs="Times New Roman"/>
                      <w:kern w:val="0"/>
                    </w:rPr>
                    <w:t>合  计</w:t>
                  </w:r>
                </w:p>
              </w:tc>
              <w:tc>
                <w:tcPr>
                  <w:tcW w:w="2451"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auto"/>
                    <w:rPr>
                      <w:rFonts w:hint="default"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t>32</w: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both"/>
              <w:textAlignment w:val="auto"/>
              <w:outlineLvl w:val="1"/>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 噪声验收监测</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本次验收对项目厂界噪声进行了监测。噪声监测时传声器加有防风罩，在无雨雪、无雷电的天气，风速5m/s以下时进行的声环境监测。</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（1）监测时间及频次</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监测项目：等效连续A声级L</w:t>
            </w:r>
            <w:r>
              <w:rPr>
                <w:rFonts w:hint="default" w:ascii="Times New Roman" w:hAnsi="Times New Roman" w:eastAsia="宋体" w:cs="Times New Roman"/>
                <w:sz w:val="21"/>
                <w:szCs w:val="21"/>
                <w:vertAlign w:val="subscript"/>
              </w:rPr>
              <w:t>Aeq</w:t>
            </w:r>
            <w:r>
              <w:rPr>
                <w:rFonts w:hint="default" w:ascii="Times New Roman" w:hAnsi="Times New Roman" w:eastAsia="宋体" w:cs="Times New Roman"/>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监测时间及频次：连续监测两天，每天昼间、夜间选择有代表性的时段各监测1次。</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（2）监测点位布设</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both"/>
              <w:textAlignment w:val="auto"/>
              <w:outlineLvl w:val="0"/>
              <w:rPr>
                <w:rFonts w:hint="default" w:ascii="Times New Roman" w:hAnsi="Times New Roman" w:eastAsia="宋体" w:cs="Times New Roman"/>
                <w:sz w:val="24"/>
                <w:szCs w:val="24"/>
              </w:rPr>
            </w:pPr>
            <w:r>
              <w:rPr>
                <w:rFonts w:hint="default" w:ascii="Times New Roman" w:hAnsi="Times New Roman" w:eastAsia="宋体" w:cs="Times New Roman"/>
                <w:sz w:val="21"/>
                <w:szCs w:val="21"/>
              </w:rPr>
              <w:t>在厂区东、南、西、北各布设1个监测点位，共设4个。</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3. 固体废物影响调查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outlineLvl w:val="0"/>
              <w:rPr>
                <w:rFonts w:hint="eastAsia" w:eastAsia="仿宋_GB2312"/>
                <w:color w:val="000000"/>
                <w:sz w:val="21"/>
                <w:szCs w:val="21"/>
              </w:rPr>
            </w:pPr>
            <w:r>
              <w:rPr>
                <w:rFonts w:hint="default" w:ascii="Times New Roman" w:hAnsi="Times New Roman" w:eastAsia="宋体" w:cs="Times New Roman"/>
                <w:sz w:val="21"/>
                <w:szCs w:val="21"/>
              </w:rPr>
              <w:t>根据现场调查，该项目生产固废主要为布袋除尘器收集的粉尘，布袋除尘器更换的废旧布袋，砂石分离器分离沉渣，外加剂废包装物。布袋除尘器收集的粉尘量，回用于生产。该项目布袋除尘器，更换的废旧布袋外售综合利用。砂石分离器分离沉渣主要为砂石及混泥土沉渣，回用于生产，对周围的环境基本无影响。该项目生产过程中使用外加剂，会产生废包装物，外售综合利用。项目运营期产生的固体废物可得到了较为妥善的处理，未对周围环境造成显著的不利影响。</w:t>
            </w:r>
          </w:p>
          <w:p>
            <w:pPr>
              <w:spacing w:before="62" w:beforeLines="20" w:line="360" w:lineRule="auto"/>
              <w:rPr>
                <w:rFonts w:hint="eastAsia" w:eastAsia="仿宋_GB2312"/>
                <w:color w:val="000000"/>
                <w:sz w:val="21"/>
                <w:szCs w:val="21"/>
              </w:rPr>
            </w:pPr>
          </w:p>
        </w:tc>
      </w:tr>
    </w:tbl>
    <w:p>
      <w:pPr>
        <w:spacing w:after="0" w:line="360" w:lineRule="auto"/>
        <w:rPr>
          <w:rFonts w:eastAsia="仿宋_GB2312"/>
          <w:b/>
          <w:color w:val="000000"/>
          <w:sz w:val="21"/>
          <w:szCs w:val="21"/>
        </w:rPr>
      </w:pPr>
    </w:p>
    <w:p>
      <w:pPr>
        <w:spacing w:after="0" w:line="360" w:lineRule="auto"/>
        <w:rPr>
          <w:rFonts w:eastAsia="仿宋_GB2312"/>
          <w:b/>
          <w:color w:val="000000"/>
          <w:sz w:val="21"/>
          <w:szCs w:val="21"/>
        </w:r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8924" w:type="dxa"/>
            <w:noWrap w:val="0"/>
            <w:vAlign w:val="top"/>
          </w:tcPr>
          <w:p>
            <w:pPr>
              <w:keepNext w:val="0"/>
              <w:keepLines w:val="0"/>
              <w:pageBreakBefore w:val="0"/>
              <w:widowControl/>
              <w:kinsoku/>
              <w:wordWrap/>
              <w:overflowPunct/>
              <w:topLinePunct w:val="0"/>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验收监测期间生产工况：</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firstLineChars="200"/>
              <w:jc w:val="both"/>
              <w:textAlignment w:val="auto"/>
              <w:rPr>
                <w:rFonts w:eastAsia="仿宋_GB2312"/>
                <w:color w:val="000000"/>
                <w:sz w:val="21"/>
                <w:szCs w:val="21"/>
              </w:rPr>
            </w:pPr>
            <w:r>
              <w:rPr>
                <w:rFonts w:hint="default" w:ascii="Times New Roman" w:hAnsi="Times New Roman" w:eastAsia="宋体" w:cs="Times New Roman"/>
                <w:sz w:val="21"/>
                <w:szCs w:val="21"/>
              </w:rPr>
              <w:t>监测期间项目</w:t>
            </w:r>
            <w:r>
              <w:rPr>
                <w:rFonts w:hint="eastAsia" w:ascii="Times New Roman" w:hAnsi="Times New Roman" w:eastAsia="宋体" w:cs="Times New Roman"/>
                <w:sz w:val="21"/>
                <w:szCs w:val="21"/>
                <w:lang w:val="en-US" w:eastAsia="zh-CN"/>
              </w:rPr>
              <w:t>正常运行生产，各项环保措施正常运行，</w:t>
            </w:r>
            <w:r>
              <w:rPr>
                <w:rFonts w:hint="default" w:ascii="Times New Roman" w:hAnsi="Times New Roman" w:eastAsia="宋体" w:cs="Times New Roman"/>
                <w:bCs/>
                <w:sz w:val="21"/>
                <w:szCs w:val="21"/>
              </w:rPr>
              <w:t>符合国家对工程竣工环保验收的要求</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9"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olor w:val="000000"/>
                <w:sz w:val="21"/>
                <w:szCs w:val="21"/>
              </w:rPr>
            </w:pPr>
            <w:r>
              <w:rPr>
                <w:rFonts w:hint="eastAsia" w:ascii="宋体" w:hAnsi="宋体" w:eastAsia="宋体"/>
                <w:color w:val="000000"/>
                <w:sz w:val="21"/>
                <w:szCs w:val="21"/>
              </w:rPr>
              <w:t>验收监测结果：</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验收监测结果：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1.废气验收监测结果</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废气</w:t>
            </w:r>
            <w:r>
              <w:rPr>
                <w:rFonts w:hint="eastAsia" w:ascii="Times New Roman" w:hAnsi="Times New Roman" w:eastAsia="宋体" w:cs="Times New Roman"/>
                <w:color w:val="000000"/>
                <w:sz w:val="21"/>
                <w:szCs w:val="21"/>
                <w:lang w:eastAsia="zh-CN"/>
              </w:rPr>
              <w:t>无</w:t>
            </w:r>
            <w:r>
              <w:rPr>
                <w:rFonts w:hint="default" w:ascii="Times New Roman" w:hAnsi="Times New Roman" w:eastAsia="宋体" w:cs="Times New Roman"/>
                <w:color w:val="000000"/>
                <w:sz w:val="21"/>
                <w:szCs w:val="21"/>
              </w:rPr>
              <w:t>组织排放监测结果见表7.</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表7.</w:t>
            </w:r>
            <w:r>
              <w:rPr>
                <w:rFonts w:hint="eastAsia" w:ascii="Times New Roman" w:hAnsi="Times New Roman"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rPr>
              <w:t xml:space="preserve">  废气无组织排放监测结果</w:t>
            </w:r>
          </w:p>
          <w:tbl>
            <w:tblPr>
              <w:tblStyle w:val="13"/>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160"/>
              <w:gridCol w:w="1145"/>
              <w:gridCol w:w="1100"/>
              <w:gridCol w:w="1100"/>
              <w:gridCol w:w="1103"/>
              <w:gridCol w:w="989"/>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采样日期</w:t>
                  </w:r>
                </w:p>
              </w:tc>
              <w:tc>
                <w:tcPr>
                  <w:tcW w:w="65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2522"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5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限值</w:t>
                  </w:r>
                </w:p>
              </w:tc>
              <w:tc>
                <w:tcPr>
                  <w:tcW w:w="5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上风向1#</w:t>
                  </w:r>
                </w:p>
              </w:tc>
              <w:tc>
                <w:tcPr>
                  <w:tcW w:w="6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下风向2#</w:t>
                  </w:r>
                </w:p>
              </w:tc>
              <w:tc>
                <w:tcPr>
                  <w:tcW w:w="6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下风向3#</w:t>
                  </w:r>
                </w:p>
              </w:tc>
              <w:tc>
                <w:tcPr>
                  <w:tcW w:w="6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下风向4#</w:t>
                  </w:r>
                </w:p>
              </w:tc>
              <w:tc>
                <w:tcPr>
                  <w:tcW w:w="5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5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2022.05.21</w:t>
                  </w:r>
                </w:p>
              </w:tc>
              <w:tc>
                <w:tcPr>
                  <w:tcW w:w="65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颗粒物mg/m³</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0.235</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0.420</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0.418</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0.407</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0.235</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0.414</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0.389</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0.466</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0.241</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0.442</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0.431</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0.440</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0.223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0.421</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0.438</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0.453</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2022.05.22</w:t>
                  </w:r>
                </w:p>
              </w:tc>
              <w:tc>
                <w:tcPr>
                  <w:tcW w:w="65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颗粒物mg/m³</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0.237</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0.425</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0.440</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0.230</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0.443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0.432</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0.453</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0.224</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0.430</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0.423</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0.436</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65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0.246</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0.439</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0.452</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0.447</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c>
                <w:tcPr>
                  <w:tcW w:w="5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由检测结果分析：项目厂界颗粒物无组织排放最大监控浓度为0.</w:t>
            </w:r>
            <w:r>
              <w:rPr>
                <w:rFonts w:hint="eastAsia" w:ascii="Times New Roman" w:hAnsi="Times New Roman" w:eastAsia="宋体" w:cs="Times New Roman"/>
                <w:color w:val="000000"/>
                <w:sz w:val="21"/>
                <w:szCs w:val="21"/>
                <w:lang w:val="en-US" w:eastAsia="zh-CN"/>
              </w:rPr>
              <w:t>453</w:t>
            </w:r>
            <w:r>
              <w:rPr>
                <w:rFonts w:hint="default" w:ascii="Times New Roman" w:hAnsi="Times New Roman" w:eastAsia="宋体" w:cs="Times New Roman"/>
                <w:color w:val="000000"/>
                <w:sz w:val="21"/>
                <w:szCs w:val="21"/>
              </w:rPr>
              <w:t>mg/m</w:t>
            </w:r>
            <w:r>
              <w:rPr>
                <w:rFonts w:hint="eastAsia"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，满足《建材工业大气污染物排放标准》(DB37/2373-2018)表3中无组织排放监控点浓度限值要求。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2.噪声监测结果</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项目厂界噪声监测统计结果见表7.</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表7.</w:t>
            </w:r>
            <w:r>
              <w:rPr>
                <w:rFonts w:hint="eastAsia" w:ascii="Times New Roman" w:hAnsi="Times New Roman" w:eastAsia="宋体" w:cs="Times New Roman"/>
                <w:b/>
                <w:bCs/>
                <w:color w:val="000000"/>
                <w:sz w:val="21"/>
                <w:szCs w:val="21"/>
                <w:lang w:val="en-US" w:eastAsia="zh-CN"/>
              </w:rPr>
              <w:t>4</w:t>
            </w:r>
            <w:r>
              <w:rPr>
                <w:rFonts w:hint="default"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厂界噪声监测结果一览表  单位：dB（A）</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305"/>
              <w:gridCol w:w="1275"/>
              <w:gridCol w:w="2070"/>
              <w:gridCol w:w="151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测量日期</w:t>
                  </w: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测点位置</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测量时段</w:t>
                  </w: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测量值Leq</w:t>
                  </w:r>
                  <w:r>
                    <w:rPr>
                      <w:rFonts w:hint="eastAsia"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dB（A）</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排放限值</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69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2022.05.21</w:t>
                  </w: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厂界东</w:t>
                  </w:r>
                </w:p>
              </w:tc>
              <w:tc>
                <w:tcPr>
                  <w:tcW w:w="73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51.9</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55.8</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厂界西</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57.3</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52.9</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厂界东</w:t>
                  </w:r>
                </w:p>
              </w:tc>
              <w:tc>
                <w:tcPr>
                  <w:tcW w:w="73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47.4</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47.2</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厂界西</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47.2</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47.5</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9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2022.05.22</w:t>
                  </w: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厂界东</w:t>
                  </w:r>
                </w:p>
              </w:tc>
              <w:tc>
                <w:tcPr>
                  <w:tcW w:w="73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53.7</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56.3</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厂界西</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57.4</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51.4</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厂界东</w:t>
                  </w:r>
                </w:p>
              </w:tc>
              <w:tc>
                <w:tcPr>
                  <w:tcW w:w="73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48.6</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48.1</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厂界西</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46.2</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厂界北</w:t>
                  </w:r>
                </w:p>
              </w:tc>
              <w:tc>
                <w:tcPr>
                  <w:tcW w:w="7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48.9</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eastAsia" w:eastAsia="仿宋_GB2312"/>
                <w:color w:val="000000"/>
                <w:sz w:val="21"/>
                <w:szCs w:val="21"/>
              </w:rPr>
            </w:pPr>
            <w:r>
              <w:rPr>
                <w:rFonts w:hint="default" w:ascii="Times New Roman" w:hAnsi="Times New Roman" w:eastAsia="宋体" w:cs="Times New Roman"/>
                <w:color w:val="000000"/>
                <w:sz w:val="21"/>
                <w:szCs w:val="21"/>
              </w:rPr>
              <w:t>由上述监测结果可以看出，厂区四周的昼间和夜间噪声值均满足《工业企业厂界环境噪声排放标准》（GB12348-2008）中2类标准限值。综合分析，项目运营期噪声对周围环境的影响相对较小。</w:t>
            </w:r>
          </w:p>
        </w:tc>
      </w:tr>
    </w:tbl>
    <w:p>
      <w:pPr>
        <w:spacing w:after="0" w:line="360" w:lineRule="auto"/>
        <w:rPr>
          <w:rFonts w:eastAsia="仿宋_GB2312"/>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八</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pPr>
              <w:spacing w:before="48" w:beforeLines="20" w:line="360" w:lineRule="auto"/>
              <w:rPr>
                <w:rFonts w:hint="eastAsia" w:ascii="宋体" w:hAnsi="宋体" w:eastAsia="宋体"/>
                <w:color w:val="000000"/>
                <w:sz w:val="21"/>
                <w:szCs w:val="21"/>
              </w:rPr>
            </w:pPr>
            <w:r>
              <w:rPr>
                <w:rFonts w:hint="eastAsia" w:ascii="宋体" w:hAnsi="宋体" w:eastAsia="宋体"/>
                <w:color w:val="000000"/>
                <w:sz w:val="21"/>
                <w:szCs w:val="21"/>
              </w:rPr>
              <w:t>验收监测结论：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1、建设项目概况</w:t>
            </w:r>
            <w:bookmarkStart w:id="9" w:name="_Toc292964282"/>
            <w:bookmarkStart w:id="10" w:name="_Toc30257241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菏泽凯瑞投资管理有限公司</w:t>
            </w:r>
            <w:r>
              <w:rPr>
                <w:rFonts w:hint="eastAsia" w:ascii="Times New Roman" w:hAnsi="Times New Roman" w:eastAsia="宋体" w:cs="Times New Roman"/>
                <w:sz w:val="21"/>
                <w:szCs w:val="21"/>
                <w:lang w:eastAsia="zh-CN"/>
              </w:rPr>
              <w:t>凯瑞公司年产20万方混凝土项目一期工程</w:t>
            </w:r>
            <w:r>
              <w:rPr>
                <w:rFonts w:hint="default" w:ascii="Times New Roman" w:hAnsi="Times New Roman" w:eastAsia="宋体" w:cs="Times New Roman"/>
                <w:sz w:val="21"/>
                <w:szCs w:val="21"/>
              </w:rPr>
              <w:t>，位于山东省菏泽市经济开发区陈集镇焦庄行政村的盐土窑厂，占地面积26980m</w:t>
            </w:r>
            <w:r>
              <w:rPr>
                <w:rFonts w:hint="default" w:ascii="Times New Roman" w:hAnsi="Times New Roman" w:eastAsia="宋体" w:cs="Times New Roman"/>
                <w:sz w:val="21"/>
                <w:szCs w:val="21"/>
                <w:vertAlign w:val="superscript"/>
              </w:rPr>
              <w:t>2</w:t>
            </w:r>
            <w:r>
              <w:rPr>
                <w:rFonts w:hint="eastAsia" w:ascii="Times New Roman" w:hAnsi="Times New Roman" w:eastAsia="宋体" w:cs="Times New Roman"/>
                <w:sz w:val="21"/>
                <w:szCs w:val="21"/>
                <w:lang w:eastAsia="zh-CN"/>
              </w:rPr>
              <w:t>，凯瑞公司年产20万方混凝土项目一期工程</w:t>
            </w:r>
            <w:r>
              <w:rPr>
                <w:rFonts w:hint="default" w:ascii="Times New Roman" w:hAnsi="Times New Roman" w:eastAsia="宋体" w:cs="Times New Roman"/>
                <w:sz w:val="21"/>
                <w:szCs w:val="21"/>
              </w:rPr>
              <w:t>是为雄商高铁与鲁南高铁并行段的建设所需的混凝土拌合站，依协议，该站由菏泽凯瑞投资管理有限公司投资建设，项目总投资1200万元，环保投资12万元。</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2、运营期环保措施落实情况调查</w:t>
            </w:r>
            <w:bookmarkEnd w:id="9"/>
            <w:bookmarkEnd w:id="1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（1）废气及其污染治理措施</w:t>
            </w:r>
          </w:p>
          <w:p>
            <w:pPr>
              <w:pStyle w:val="3"/>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color w:val="000000"/>
                <w:sz w:val="21"/>
                <w:szCs w:val="21"/>
              </w:rPr>
              <w:t>该项目原料水泥、粉煤灰、矿粉通过输送装置送到搅拌站，物料输送通过搅拌设备自带的密封传送带完成，在输送、投料过程中产生少量的粉尘</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该项目石子、砂子均储存在原料仓库内，该项目在仓库为全密闭，石子、砂子采用五斗投料机输送至搅拌站。项目原料仓库采用全封闭，物料采用防尘网遮盖并配有定期水喷淋装置，五斗投料机配有定期水喷淋装置：该项目水泥、粉煤灰、矿粉均采用筒库料仓储存，筒仓全封闭，该项目设有</w:t>
            </w:r>
            <w:r>
              <w:rPr>
                <w:rFonts w:hint="eastAsia"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rPr>
              <w:t>座粉料仓（水泥仓</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座、粉煤灰仓与矿粉仓各</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座），每座筒仓顶部配置1台布袋除尘器，共</w:t>
            </w:r>
            <w:r>
              <w:rPr>
                <w:rFonts w:hint="eastAsia"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rPr>
              <w:t>台除尘器，除尘器处理后无组织排放。该项目水泥、粉煤灰、矿粉、石子、砂子等原料通过输送装置送到搅拌站，该项目在物料混合搅拌为全密闭生产，将产生的粉尘收集后经布袋除尘器处理后，无组织排放，废气无组织颗粒物排放执行山东省地标（DB37/2373-2018）《建材工业大气污染物排放标准》表3中无组织排放监控点浓度限值要求。</w:t>
            </w:r>
            <w:r>
              <w:rPr>
                <w:rFonts w:hint="default" w:ascii="Times New Roman" w:hAnsi="Times New Roman" w:eastAsia="宋体" w:cs="Times New Roman"/>
                <w:sz w:val="21"/>
                <w:szCs w:val="21"/>
              </w:rPr>
              <w:t>环评要求的废气治理措施及环保设施得到了落实。</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废水及其污染治理措施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活污水经化粪池处理后，外运堆肥；该项目清洗废水经厂内管渠汇聚到废水收集池，经砂石分离器分离后，浑浊废水经废水回收系统处理，废水回收系统主要是将浑浊废水搅拌均匀，然后由泵打入生产工序重复利用，无外排。环评提出的废水污染防治措施得到了落实。</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（3）噪声及其污染防治措施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设备选用低噪音设备，对高噪声设备安装减震底座，机械噪声经过墙体隔音和距离衰减后，满足《工业企业厂界环境噪声排放标准》（GB12348—2008）2类标准要求。项目环评报告提出的噪声污染防治措施基本得到了落实。</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（4）固废及其处理处置措施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现场调查，该项目生产固废主要为布袋除尘器收集的粉尘，布袋除尘器更换的废旧布袋，砂石分离器分离沉渣，外加剂废包装物。布袋除尘器收集的粉尘量，回用于生产。该项目布袋除尘器，更换的废旧布袋外售综合利用。砂石分离器分离沉渣主要为砂石及混泥土沉渣，回用于生产，对周围的环境基本无影响。该项目生产过程中使用外加剂，会产生废包装物，外售综合利用。项目运营期产生的固体废物可得到了较为妥善的处理，未对周围环境造成显著的不利影响。环评中提出的固体废物收集及处理处置要求基本得到了落实。</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
                <w:sz w:val="21"/>
                <w:szCs w:val="21"/>
              </w:rPr>
              <w:t>3、验收监测结果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（1）废气验收监测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日至</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日委托</w:t>
            </w:r>
            <w:r>
              <w:rPr>
                <w:rFonts w:hint="eastAsia" w:ascii="Times New Roman" w:hAnsi="Times New Roman" w:eastAsia="宋体" w:cs="Times New Roman"/>
                <w:sz w:val="21"/>
                <w:szCs w:val="21"/>
                <w:lang w:eastAsia="zh-CN"/>
              </w:rPr>
              <w:t>山东天衡检测有限公司</w:t>
            </w:r>
            <w:r>
              <w:rPr>
                <w:rFonts w:hint="default" w:ascii="Times New Roman" w:hAnsi="Times New Roman" w:eastAsia="宋体" w:cs="Times New Roman"/>
                <w:sz w:val="21"/>
                <w:szCs w:val="21"/>
              </w:rPr>
              <w:t>对厂界颗粒物进行了监测，连续采样两天，每天采样</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次。由监测统计结果可知，</w:t>
            </w:r>
            <w:r>
              <w:rPr>
                <w:rFonts w:hint="default" w:ascii="Times New Roman" w:hAnsi="Times New Roman" w:eastAsia="宋体" w:cs="Times New Roman"/>
                <w:color w:val="000000"/>
                <w:sz w:val="21"/>
                <w:szCs w:val="21"/>
              </w:rPr>
              <w:t>项目厂界颗粒物无组织排放最大监控浓度为0.</w:t>
            </w:r>
            <w:r>
              <w:rPr>
                <w:rFonts w:hint="eastAsia" w:ascii="Times New Roman" w:hAnsi="Times New Roman" w:eastAsia="宋体" w:cs="Times New Roman"/>
                <w:color w:val="000000"/>
                <w:sz w:val="21"/>
                <w:szCs w:val="21"/>
                <w:lang w:val="en-US" w:eastAsia="zh-CN"/>
              </w:rPr>
              <w:t>453</w:t>
            </w:r>
            <w:r>
              <w:rPr>
                <w:rFonts w:hint="default" w:ascii="Times New Roman" w:hAnsi="Times New Roman" w:eastAsia="宋体" w:cs="Times New Roman"/>
                <w:color w:val="000000"/>
                <w:sz w:val="21"/>
                <w:szCs w:val="21"/>
              </w:rPr>
              <w:t>mg/m</w:t>
            </w:r>
            <w:r>
              <w:rPr>
                <w:rFonts w:hint="eastAsia"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，满足《建材工业大气污染物排放标准》</w:t>
            </w:r>
            <w:bookmarkStart w:id="13" w:name="_GoBack"/>
            <w:bookmarkEnd w:id="13"/>
            <w:r>
              <w:rPr>
                <w:rFonts w:hint="default" w:ascii="Times New Roman" w:hAnsi="Times New Roman" w:eastAsia="宋体" w:cs="Times New Roman"/>
                <w:color w:val="000000"/>
                <w:sz w:val="21"/>
                <w:szCs w:val="21"/>
              </w:rPr>
              <w:t>(DB37/2373-2018)表3中无组织排放监控点浓度限值要求。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（2）噪声验收监测</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日至</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日委托</w:t>
            </w:r>
            <w:r>
              <w:rPr>
                <w:rFonts w:hint="eastAsia" w:ascii="Times New Roman" w:hAnsi="Times New Roman" w:eastAsia="宋体" w:cs="Times New Roman"/>
                <w:sz w:val="21"/>
                <w:szCs w:val="21"/>
                <w:lang w:eastAsia="zh-CN"/>
              </w:rPr>
              <w:t>山东天衡检测有限公司</w:t>
            </w:r>
            <w:r>
              <w:rPr>
                <w:rFonts w:hint="default" w:ascii="Times New Roman" w:hAnsi="Times New Roman" w:eastAsia="宋体" w:cs="Times New Roman"/>
                <w:sz w:val="21"/>
                <w:szCs w:val="21"/>
              </w:rPr>
              <w:t>对厂界声环境进行了监测，由监测统计结果可知，</w:t>
            </w:r>
            <w:r>
              <w:rPr>
                <w:rFonts w:hint="default" w:ascii="Times New Roman" w:hAnsi="Times New Roman" w:eastAsia="宋体" w:cs="Times New Roman"/>
                <w:color w:val="000000"/>
                <w:sz w:val="21"/>
                <w:szCs w:val="21"/>
              </w:rPr>
              <w:t>厂区四周的昼间和夜间噪声值均满足《工业企业厂界环境噪声排放标准》（GB12348-2008）中2类标准限值。综合分析，项目运营期噪声对周围环境的影响相对较小。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4、环境管理及监控落实情况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bookmarkStart w:id="11" w:name="_Toc302572416"/>
            <w:bookmarkStart w:id="12" w:name="_Toc292964287"/>
            <w:r>
              <w:rPr>
                <w:rFonts w:hint="default" w:ascii="Times New Roman" w:hAnsi="Times New Roman" w:eastAsia="宋体" w:cs="Times New Roman"/>
                <w:sz w:val="21"/>
                <w:szCs w:val="21"/>
              </w:rPr>
              <w:t>本次验收调查表明，</w:t>
            </w:r>
            <w:r>
              <w:rPr>
                <w:rFonts w:hint="eastAsia" w:ascii="Times New Roman" w:hAnsi="Times New Roman" w:eastAsia="宋体" w:cs="Times New Roman"/>
                <w:color w:val="000000"/>
                <w:sz w:val="21"/>
                <w:szCs w:val="21"/>
                <w:lang w:eastAsia="zh-CN"/>
              </w:rPr>
              <w:t>菏泽凯瑞投资管理有限公司</w:t>
            </w:r>
            <w:r>
              <w:rPr>
                <w:rFonts w:hint="default" w:ascii="Times New Roman" w:hAnsi="Times New Roman" w:eastAsia="宋体" w:cs="Times New Roman"/>
                <w:sz w:val="21"/>
                <w:szCs w:val="21"/>
              </w:rPr>
              <w:t>履行了环境影响评价制度和“三同时”制度，建立了相应的环境管理机构，基本落实了环评提出的环境管理制度，对保证各环保设施的正常稳定运行，保证污染物的达标排放起到了一定的保障作用。针对本项目在环境管理方面存在的不足，要求建设单位进一步制定完善的环境管理体系和制度，确保环境管理职责明确，责任落实到位；接受当地环保部门的监督和指导，严格落实提出的环境监测计划，及时公开环境监测结果，发现污染物排放不达标应及时采取相应的补救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5、调查报告综合结论</w:t>
            </w:r>
            <w:bookmarkEnd w:id="11"/>
            <w:bookmarkEnd w:id="1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本次验收调查表明，项目</w:t>
            </w:r>
            <w:r>
              <w:rPr>
                <w:rFonts w:hint="default" w:ascii="Times New Roman" w:hAnsi="Times New Roman" w:eastAsia="宋体" w:cs="Times New Roman"/>
                <w:sz w:val="21"/>
                <w:szCs w:val="21"/>
              </w:rPr>
              <w:t>严格履行了环境影响评价制度及“三同时”制度，项目建设地点、平面布置、主要建设内容及建设规模与环评相一致，</w:t>
            </w:r>
            <w:r>
              <w:rPr>
                <w:rFonts w:hint="eastAsia"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rPr>
              <w:t>落实了环评中提出的各项环保措施，经监测项目废气能够达标排放，噪声值满足相应的功能区划要求，各类废水和固体废物对周围环境的不利影响较小；同时项目按照环评要求建立了相应的环境管理机构，基本落实了环评提出的环境管理制度和环境监测计划。总体上，本项目达到了建设项目竣工环境保护验收的基本要求，同意本项目通过竣工环保验收。</w:t>
            </w: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widowControl w:val="0"/>
              <w:spacing w:before="62" w:beforeLines="20" w:after="0" w:line="360" w:lineRule="auto"/>
              <w:jc w:val="both"/>
              <w:rPr>
                <w:rFonts w:eastAsia="仿宋_GB2312"/>
                <w:color w:val="000000"/>
                <w:sz w:val="21"/>
                <w:szCs w:val="21"/>
              </w:rPr>
            </w:pPr>
          </w:p>
        </w:tc>
      </w:tr>
    </w:tbl>
    <w:p/>
    <w:p>
      <w:pPr>
        <w:pStyle w:val="2"/>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14180" w:type="dxa"/>
        <w:tblInd w:w="0" w:type="dxa"/>
        <w:tblLayout w:type="fixed"/>
        <w:tblCellMar>
          <w:top w:w="0" w:type="dxa"/>
          <w:left w:w="28" w:type="dxa"/>
          <w:bottom w:w="0" w:type="dxa"/>
          <w:right w:w="28" w:type="dxa"/>
        </w:tblCellMar>
      </w:tblPr>
      <w:tblGrid>
        <w:gridCol w:w="349"/>
        <w:gridCol w:w="161"/>
        <w:gridCol w:w="945"/>
        <w:gridCol w:w="664"/>
        <w:gridCol w:w="633"/>
        <w:gridCol w:w="1211"/>
        <w:gridCol w:w="945"/>
        <w:gridCol w:w="878"/>
        <w:gridCol w:w="431"/>
        <w:gridCol w:w="514"/>
        <w:gridCol w:w="945"/>
        <w:gridCol w:w="947"/>
        <w:gridCol w:w="1700"/>
        <w:gridCol w:w="878"/>
        <w:gridCol w:w="708"/>
        <w:gridCol w:w="381"/>
        <w:gridCol w:w="908"/>
        <w:gridCol w:w="982"/>
      </w:tblGrid>
      <w:tr>
        <w:tblPrEx>
          <w:tblCellMar>
            <w:top w:w="0" w:type="dxa"/>
            <w:left w:w="28" w:type="dxa"/>
            <w:bottom w:w="0" w:type="dxa"/>
            <w:right w:w="28" w:type="dxa"/>
          </w:tblCellMar>
        </w:tblPrEx>
        <w:trPr>
          <w:trHeight w:val="573" w:hRule="atLeast"/>
        </w:trPr>
        <w:tc>
          <w:tcPr>
            <w:tcW w:w="14180" w:type="dxa"/>
            <w:gridSpan w:val="18"/>
            <w:tcBorders>
              <w:top w:val="nil"/>
              <w:left w:val="nil"/>
              <w:bottom w:val="single" w:color="000000" w:sz="4" w:space="0"/>
              <w:right w:val="nil"/>
            </w:tcBorders>
            <w:noWrap/>
            <w:vAlign w:val="center"/>
          </w:tcPr>
          <w:p>
            <w:pPr>
              <w:widowControl w:val="0"/>
              <w:adjustRightInd/>
              <w:snapToGrid/>
              <w:spacing w:after="0" w:line="240" w:lineRule="auto"/>
              <w:jc w:val="center"/>
              <w:rPr>
                <w:rFonts w:ascii="Times New Roman" w:hAnsi="Times New Roman" w:eastAsia="宋体" w:cs="Times New Roman"/>
                <w:b/>
                <w:bCs/>
                <w:sz w:val="16"/>
                <w:szCs w:val="16"/>
              </w:rPr>
            </w:pPr>
            <w:r>
              <w:rPr>
                <w:rFonts w:ascii="Times New Roman" w:hAnsi="Times New Roman" w:eastAsia="宋体" w:cs="Times New Roman"/>
                <w:b/>
                <w:bCs/>
                <w:sz w:val="24"/>
                <w:szCs w:val="24"/>
              </w:rPr>
              <w:t>建设项目竣工环境保护“三同时”验收登记表</w:t>
            </w:r>
          </w:p>
        </w:tc>
      </w:tr>
      <w:tr>
        <w:tblPrEx>
          <w:tblCellMar>
            <w:top w:w="0" w:type="dxa"/>
            <w:left w:w="28" w:type="dxa"/>
            <w:bottom w:w="0" w:type="dxa"/>
            <w:right w:w="28" w:type="dxa"/>
          </w:tblCellMar>
        </w:tblPrEx>
        <w:trPr>
          <w:trHeight w:val="389" w:hRule="atLeast"/>
        </w:trPr>
        <w:tc>
          <w:tcPr>
            <w:tcW w:w="349" w:type="dxa"/>
            <w:vMerge w:val="restart"/>
            <w:tcBorders>
              <w:top w:val="nil"/>
              <w:left w:val="single" w:color="000000" w:sz="4" w:space="0"/>
              <w:bottom w:val="single" w:color="000000" w:sz="4" w:space="0"/>
              <w:right w:val="single" w:color="000000" w:sz="4" w:space="0"/>
            </w:tcBorders>
            <w:noWrap w:val="0"/>
            <w:textDirection w:val="tbRlV"/>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建设项目</w:t>
            </w: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项目名称</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凯瑞公司年产20万方混凝土项目一期工程</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项目代码</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val="0"/>
                <w:bCs w:val="0"/>
                <w:sz w:val="16"/>
                <w:szCs w:val="16"/>
              </w:rPr>
              <w:t>2</w:t>
            </w:r>
            <w:r>
              <w:rPr>
                <w:rFonts w:hint="eastAsia" w:ascii="Times New Roman" w:hAnsi="Times New Roman" w:eastAsia="宋体" w:cs="Times New Roman"/>
                <w:b w:val="0"/>
                <w:bCs w:val="0"/>
                <w:sz w:val="16"/>
                <w:szCs w:val="16"/>
              </w:rPr>
              <w:t>017-371726-42-03-064663</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建设地点</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山东省菏泽市经济开发区陈集镇焦庄行政村（原盐土窑厂）</w:t>
            </w:r>
          </w:p>
        </w:tc>
      </w:tr>
      <w:tr>
        <w:tblPrEx>
          <w:tblCellMar>
            <w:top w:w="0" w:type="dxa"/>
            <w:left w:w="28" w:type="dxa"/>
            <w:bottom w:w="0" w:type="dxa"/>
            <w:right w:w="28" w:type="dxa"/>
          </w:tblCellMar>
        </w:tblPrEx>
        <w:trPr>
          <w:trHeight w:val="389"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行业类别（分类管理名录）</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建设性质</w:t>
            </w:r>
          </w:p>
        </w:tc>
        <w:tc>
          <w:tcPr>
            <w:tcW w:w="3286"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val="0"/>
                <w:bCs w:val="0"/>
                <w:sz w:val="16"/>
                <w:szCs w:val="16"/>
              </w:rPr>
              <w:sym w:font="Wingdings 2" w:char="0052"/>
            </w:r>
            <w:r>
              <w:rPr>
                <w:rFonts w:ascii="Times New Roman" w:hAnsi="Times New Roman" w:eastAsia="宋体" w:cs="Times New Roman"/>
                <w:b w:val="0"/>
                <w:bCs w:val="0"/>
                <w:sz w:val="16"/>
                <w:szCs w:val="16"/>
              </w:rPr>
              <w:t>新建  □ 改扩建  □技术改造</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default" w:ascii="Times New Roman" w:hAnsi="Times New Roman" w:eastAsia="宋体" w:cs="Times New Roman"/>
                <w:b w:val="0"/>
                <w:bCs w:val="0"/>
                <w:sz w:val="16"/>
                <w:szCs w:val="16"/>
                <w:lang w:eastAsia="zh-CN"/>
              </w:rPr>
              <w:t>东经115 度</w:t>
            </w:r>
            <w:r>
              <w:rPr>
                <w:rFonts w:hint="eastAsia" w:ascii="Times New Roman" w:hAnsi="Times New Roman" w:eastAsia="宋体" w:cs="Times New Roman"/>
                <w:b w:val="0"/>
                <w:bCs w:val="0"/>
                <w:sz w:val="16"/>
                <w:szCs w:val="16"/>
                <w:lang w:val="en-US" w:eastAsia="zh-CN"/>
              </w:rPr>
              <w:t>39</w:t>
            </w:r>
            <w:r>
              <w:rPr>
                <w:rFonts w:hint="default" w:ascii="Times New Roman" w:hAnsi="Times New Roman" w:eastAsia="宋体" w:cs="Times New Roman"/>
                <w:b w:val="0"/>
                <w:bCs w:val="0"/>
                <w:sz w:val="16"/>
                <w:szCs w:val="16"/>
                <w:lang w:eastAsia="zh-CN"/>
              </w:rPr>
              <w:t>分</w:t>
            </w:r>
            <w:r>
              <w:rPr>
                <w:rFonts w:hint="eastAsia" w:ascii="Times New Roman" w:hAnsi="Times New Roman" w:eastAsia="宋体" w:cs="Times New Roman"/>
                <w:b w:val="0"/>
                <w:bCs w:val="0"/>
                <w:sz w:val="16"/>
                <w:szCs w:val="16"/>
                <w:lang w:val="en-US" w:eastAsia="zh-CN"/>
              </w:rPr>
              <w:t>36</w:t>
            </w:r>
            <w:r>
              <w:rPr>
                <w:rFonts w:hint="default" w:ascii="Times New Roman" w:hAnsi="Times New Roman" w:eastAsia="宋体" w:cs="Times New Roman"/>
                <w:b w:val="0"/>
                <w:bCs w:val="0"/>
                <w:sz w:val="16"/>
                <w:szCs w:val="16"/>
                <w:lang w:eastAsia="zh-CN"/>
              </w:rPr>
              <w:t>秒，北纬35度</w:t>
            </w:r>
            <w:r>
              <w:rPr>
                <w:rFonts w:hint="eastAsia" w:ascii="Times New Roman" w:hAnsi="Times New Roman" w:eastAsia="宋体" w:cs="Times New Roman"/>
                <w:b w:val="0"/>
                <w:bCs w:val="0"/>
                <w:sz w:val="16"/>
                <w:szCs w:val="16"/>
                <w:lang w:val="en-US" w:eastAsia="zh-CN"/>
              </w:rPr>
              <w:t>13</w:t>
            </w:r>
            <w:r>
              <w:rPr>
                <w:rFonts w:hint="default" w:ascii="Times New Roman" w:hAnsi="Times New Roman" w:eastAsia="宋体" w:cs="Times New Roman"/>
                <w:b w:val="0"/>
                <w:bCs w:val="0"/>
                <w:sz w:val="16"/>
                <w:szCs w:val="16"/>
                <w:lang w:eastAsia="zh-CN"/>
              </w:rPr>
              <w:t>分</w:t>
            </w:r>
            <w:r>
              <w:rPr>
                <w:rFonts w:hint="eastAsia" w:ascii="Times New Roman" w:hAnsi="Times New Roman" w:eastAsia="宋体" w:cs="Times New Roman"/>
                <w:b w:val="0"/>
                <w:bCs w:val="0"/>
                <w:sz w:val="16"/>
                <w:szCs w:val="16"/>
                <w:lang w:val="en-US" w:eastAsia="zh-CN"/>
              </w:rPr>
              <w:t>58</w:t>
            </w:r>
            <w:r>
              <w:rPr>
                <w:rFonts w:hint="default" w:ascii="Times New Roman" w:hAnsi="Times New Roman" w:eastAsia="宋体" w:cs="Times New Roman"/>
                <w:b w:val="0"/>
                <w:bCs w:val="0"/>
                <w:sz w:val="16"/>
                <w:szCs w:val="16"/>
                <w:lang w:eastAsia="zh-CN"/>
              </w:rPr>
              <w:t>秒</w:t>
            </w:r>
          </w:p>
        </w:tc>
      </w:tr>
      <w:tr>
        <w:tblPrEx>
          <w:tblCellMar>
            <w:top w:w="0" w:type="dxa"/>
            <w:left w:w="28" w:type="dxa"/>
            <w:bottom w:w="0" w:type="dxa"/>
            <w:right w:w="28" w:type="dxa"/>
          </w:tblCellMar>
        </w:tblPrEx>
        <w:trPr>
          <w:trHeight w:val="214"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设计生产能力</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hint="eastAsia" w:ascii="Times New Roman" w:hAnsi="Times New Roman" w:eastAsia="宋体" w:cs="Times New Roman"/>
                <w:b w:val="0"/>
                <w:bCs w:val="0"/>
                <w:sz w:val="16"/>
                <w:szCs w:val="16"/>
                <w:lang w:eastAsia="zh-CN"/>
              </w:rPr>
              <w:t>年产20万方混凝土项目</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实际生产能力</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hint="eastAsia" w:ascii="Times New Roman" w:hAnsi="Times New Roman" w:eastAsia="宋体" w:cs="Times New Roman"/>
                <w:b w:val="0"/>
                <w:bCs w:val="0"/>
                <w:sz w:val="16"/>
                <w:szCs w:val="16"/>
                <w:lang w:eastAsia="zh-CN"/>
              </w:rPr>
              <w:t>年产</w:t>
            </w:r>
            <w:r>
              <w:rPr>
                <w:rFonts w:hint="eastAsia" w:ascii="Times New Roman" w:hAnsi="Times New Roman" w:eastAsia="宋体" w:cs="Times New Roman"/>
                <w:b w:val="0"/>
                <w:bCs w:val="0"/>
                <w:sz w:val="16"/>
                <w:szCs w:val="16"/>
                <w:lang w:val="en-US" w:eastAsia="zh-CN"/>
              </w:rPr>
              <w:t>15</w:t>
            </w:r>
            <w:r>
              <w:rPr>
                <w:rFonts w:hint="eastAsia" w:ascii="Times New Roman" w:hAnsi="Times New Roman" w:eastAsia="宋体" w:cs="Times New Roman"/>
                <w:b w:val="0"/>
                <w:bCs w:val="0"/>
                <w:sz w:val="16"/>
                <w:szCs w:val="16"/>
                <w:lang w:eastAsia="zh-CN"/>
              </w:rPr>
              <w:t>万方混凝土项目</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环评单位</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山东华汇达工程技术服务有限公司</w:t>
            </w:r>
          </w:p>
        </w:tc>
      </w:tr>
      <w:tr>
        <w:tblPrEx>
          <w:tblCellMar>
            <w:top w:w="0" w:type="dxa"/>
            <w:left w:w="28" w:type="dxa"/>
            <w:bottom w:w="0" w:type="dxa"/>
            <w:right w:w="28" w:type="dxa"/>
          </w:tblCellMar>
        </w:tblPrEx>
        <w:trPr>
          <w:trHeight w:val="225"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环评文件审批机关</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菏泽市经济开发区行政审批服务局</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审批文号</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hint="eastAsia" w:ascii="Times New Roman" w:hAnsi="Times New Roman" w:eastAsia="宋体" w:cs="Times New Roman"/>
                <w:b w:val="0"/>
                <w:bCs w:val="0"/>
                <w:sz w:val="16"/>
                <w:szCs w:val="16"/>
                <w:lang w:eastAsia="zh-CN"/>
              </w:rPr>
              <w:t>菏开行审市</w:t>
            </w:r>
            <w:r>
              <w:rPr>
                <w:rFonts w:hint="eastAsia" w:ascii="Times New Roman" w:hAnsi="Times New Roman" w:eastAsia="宋体" w:cs="Times New Roman"/>
                <w:b w:val="0"/>
                <w:bCs w:val="0"/>
                <w:sz w:val="16"/>
                <w:szCs w:val="16"/>
              </w:rPr>
              <w:t>[20</w:t>
            </w:r>
            <w:r>
              <w:rPr>
                <w:rFonts w:hint="eastAsia" w:ascii="Times New Roman" w:hAnsi="Times New Roman" w:eastAsia="宋体" w:cs="Times New Roman"/>
                <w:b w:val="0"/>
                <w:bCs w:val="0"/>
                <w:sz w:val="16"/>
                <w:szCs w:val="16"/>
                <w:lang w:val="en-US" w:eastAsia="zh-CN"/>
              </w:rPr>
              <w:t>21</w:t>
            </w:r>
            <w:r>
              <w:rPr>
                <w:rFonts w:hint="eastAsia" w:ascii="Times New Roman" w:hAnsi="Times New Roman" w:eastAsia="宋体" w:cs="Times New Roman"/>
                <w:b w:val="0"/>
                <w:bCs w:val="0"/>
                <w:sz w:val="16"/>
                <w:szCs w:val="16"/>
              </w:rPr>
              <w:t>]</w:t>
            </w:r>
            <w:r>
              <w:rPr>
                <w:rFonts w:hint="eastAsia" w:ascii="Times New Roman" w:hAnsi="Times New Roman" w:eastAsia="宋体" w:cs="Times New Roman"/>
                <w:b w:val="0"/>
                <w:bCs w:val="0"/>
                <w:sz w:val="16"/>
                <w:szCs w:val="16"/>
                <w:lang w:val="en-US" w:eastAsia="zh-CN"/>
              </w:rPr>
              <w:t>1</w:t>
            </w:r>
            <w:r>
              <w:rPr>
                <w:rFonts w:hint="eastAsia" w:ascii="Times New Roman" w:hAnsi="Times New Roman" w:eastAsia="宋体" w:cs="Times New Roman"/>
                <w:b w:val="0"/>
                <w:bCs w:val="0"/>
                <w:sz w:val="16"/>
                <w:szCs w:val="16"/>
              </w:rPr>
              <w:t>号</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环评文件类型</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建设项目环境影响报告</w:t>
            </w:r>
          </w:p>
        </w:tc>
      </w:tr>
      <w:tr>
        <w:tblPrEx>
          <w:tblCellMar>
            <w:top w:w="0" w:type="dxa"/>
            <w:left w:w="28" w:type="dxa"/>
            <w:bottom w:w="0" w:type="dxa"/>
            <w:right w:w="28" w:type="dxa"/>
          </w:tblCellMar>
        </w:tblPrEx>
        <w:trPr>
          <w:trHeight w:val="189"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开工日期</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2021年3月</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竣工日期</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2022年4月</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排污许可证申领时间</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r>
      <w:tr>
        <w:tblPrEx>
          <w:tblCellMar>
            <w:top w:w="0" w:type="dxa"/>
            <w:left w:w="28" w:type="dxa"/>
            <w:bottom w:w="0" w:type="dxa"/>
            <w:right w:w="28" w:type="dxa"/>
          </w:tblCellMar>
        </w:tblPrEx>
        <w:trPr>
          <w:trHeight w:val="389"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环保设施设计单位</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环保设施施工单位</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本工程排污许可证编号</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r>
      <w:tr>
        <w:tblPrEx>
          <w:tblCellMar>
            <w:top w:w="0" w:type="dxa"/>
            <w:left w:w="28" w:type="dxa"/>
            <w:bottom w:w="0" w:type="dxa"/>
            <w:right w:w="28" w:type="dxa"/>
          </w:tblCellMar>
        </w:tblPrEx>
        <w:trPr>
          <w:trHeight w:val="90"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验收单位</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菏泽凯瑞投资管理有限公司</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环保设施监测单位</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eastAsia="zh-CN"/>
              </w:rPr>
            </w:pPr>
            <w:r>
              <w:rPr>
                <w:rFonts w:hint="eastAsia" w:ascii="Times New Roman" w:hAnsi="Times New Roman" w:eastAsia="宋体" w:cs="Times New Roman"/>
                <w:b w:val="0"/>
                <w:bCs w:val="0"/>
                <w:sz w:val="16"/>
                <w:szCs w:val="16"/>
                <w:lang w:eastAsia="zh-CN"/>
              </w:rPr>
              <w:t>山东天衡检测有限公司</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验收监测时工况</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80%</w:t>
            </w:r>
          </w:p>
        </w:tc>
      </w:tr>
      <w:tr>
        <w:tblPrEx>
          <w:tblCellMar>
            <w:top w:w="0" w:type="dxa"/>
            <w:left w:w="28" w:type="dxa"/>
            <w:bottom w:w="0" w:type="dxa"/>
            <w:right w:w="28" w:type="dxa"/>
          </w:tblCellMar>
        </w:tblPrEx>
        <w:trPr>
          <w:trHeight w:val="179"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投资总概算（万元）</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1200</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环保投资总概算（万元）</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12</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所占比例（%）</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bCs/>
                <w:sz w:val="16"/>
                <w:szCs w:val="16"/>
                <w:lang w:val="en-US" w:eastAsia="zh-CN"/>
              </w:rPr>
            </w:pPr>
            <w:r>
              <w:rPr>
                <w:rFonts w:hint="eastAsia" w:ascii="Times New Roman" w:hAnsi="Times New Roman" w:eastAsia="宋体" w:cs="Times New Roman"/>
                <w:b w:val="0"/>
                <w:bCs w:val="0"/>
                <w:sz w:val="16"/>
                <w:szCs w:val="16"/>
                <w:lang w:val="en-US" w:eastAsia="zh-CN"/>
              </w:rPr>
              <w:t>1</w:t>
            </w:r>
          </w:p>
        </w:tc>
      </w:tr>
      <w:tr>
        <w:tblPrEx>
          <w:tblCellMar>
            <w:top w:w="0" w:type="dxa"/>
            <w:left w:w="28" w:type="dxa"/>
            <w:bottom w:w="0" w:type="dxa"/>
            <w:right w:w="28" w:type="dxa"/>
          </w:tblCellMar>
        </w:tblPrEx>
        <w:trPr>
          <w:trHeight w:val="200"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实际总投资</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1200</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实际环保投资（万元）</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12</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所占比例（%）</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1</w:t>
            </w:r>
          </w:p>
        </w:tc>
      </w:tr>
      <w:tr>
        <w:tblPrEx>
          <w:tblCellMar>
            <w:top w:w="0" w:type="dxa"/>
            <w:left w:w="28" w:type="dxa"/>
            <w:bottom w:w="0" w:type="dxa"/>
            <w:right w:w="28" w:type="dxa"/>
          </w:tblCellMar>
        </w:tblPrEx>
        <w:trPr>
          <w:trHeight w:val="389"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废水治理（万元）</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废气治理</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（万元）</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3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噪声治理</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（万元）</w:t>
            </w:r>
          </w:p>
        </w:tc>
        <w:tc>
          <w:tcPr>
            <w:tcW w:w="514"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固体废物治理（万元）</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绿化及生态（万元）</w:t>
            </w:r>
          </w:p>
        </w:tc>
        <w:tc>
          <w:tcPr>
            <w:tcW w:w="38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其他</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（万元）</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ind w:firstLine="321" w:firstLineChars="0"/>
              <w:jc w:val="both"/>
              <w:rPr>
                <w:rFonts w:ascii="Times New Roman" w:hAnsi="Times New Roman" w:eastAsia="宋体" w:cs="Times New Roman"/>
                <w:b/>
                <w:bCs/>
                <w:sz w:val="16"/>
                <w:szCs w:val="16"/>
              </w:rPr>
            </w:pPr>
          </w:p>
        </w:tc>
      </w:tr>
      <w:tr>
        <w:tblPrEx>
          <w:tblCellMar>
            <w:top w:w="0" w:type="dxa"/>
            <w:left w:w="28" w:type="dxa"/>
            <w:bottom w:w="0" w:type="dxa"/>
            <w:right w:w="28" w:type="dxa"/>
          </w:tblCellMar>
        </w:tblPrEx>
        <w:trPr>
          <w:trHeight w:val="200" w:hRule="atLeast"/>
        </w:trPr>
        <w:tc>
          <w:tcPr>
            <w:tcW w:w="349"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770"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新增废水处理设施能力</w:t>
            </w:r>
          </w:p>
        </w:tc>
        <w:tc>
          <w:tcPr>
            <w:tcW w:w="4612" w:type="dxa"/>
            <w:gridSpan w:val="6"/>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　</w:t>
            </w:r>
          </w:p>
        </w:tc>
        <w:tc>
          <w:tcPr>
            <w:tcW w:w="1892"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新增废气处理设施能力</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　</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年平均工作时</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7200h/a</w:t>
            </w:r>
          </w:p>
        </w:tc>
      </w:tr>
      <w:tr>
        <w:tblPrEx>
          <w:tblCellMar>
            <w:top w:w="0" w:type="dxa"/>
            <w:left w:w="28" w:type="dxa"/>
            <w:bottom w:w="0" w:type="dxa"/>
            <w:right w:w="28" w:type="dxa"/>
          </w:tblCellMar>
        </w:tblPrEx>
        <w:trPr>
          <w:trHeight w:val="389" w:hRule="atLeast"/>
        </w:trPr>
        <w:tc>
          <w:tcPr>
            <w:tcW w:w="211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运营单位</w:t>
            </w:r>
          </w:p>
        </w:tc>
        <w:tc>
          <w:tcPr>
            <w:tcW w:w="3667" w:type="dxa"/>
            <w:gridSpan w:val="4"/>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hint="eastAsia" w:ascii="Times New Roman" w:hAnsi="Times New Roman" w:eastAsia="宋体" w:cs="Times New Roman"/>
                <w:b w:val="0"/>
                <w:bCs w:val="0"/>
                <w:sz w:val="16"/>
                <w:szCs w:val="16"/>
                <w:lang w:eastAsia="zh-CN"/>
              </w:rPr>
              <w:t>菏泽凯瑞投资管理有限公司</w:t>
            </w:r>
          </w:p>
        </w:tc>
        <w:tc>
          <w:tcPr>
            <w:tcW w:w="2837" w:type="dxa"/>
            <w:gridSpan w:val="4"/>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运营单位社会统一信用代码（或组织机构代码）</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hint="eastAsia" w:ascii="Times New Roman" w:hAnsi="Times New Roman" w:eastAsia="宋体" w:cs="Times New Roman"/>
                <w:b w:val="0"/>
                <w:bCs w:val="0"/>
                <w:sz w:val="16"/>
                <w:szCs w:val="16"/>
              </w:rPr>
              <w:t>91371727MA3BYHYP50</w:t>
            </w:r>
          </w:p>
        </w:tc>
        <w:tc>
          <w:tcPr>
            <w:tcW w:w="1586"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验收时间</w:t>
            </w:r>
          </w:p>
        </w:tc>
        <w:tc>
          <w:tcPr>
            <w:tcW w:w="2271" w:type="dxa"/>
            <w:gridSpan w:val="3"/>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val="0"/>
                <w:bCs w:val="0"/>
                <w:sz w:val="16"/>
                <w:szCs w:val="16"/>
              </w:rPr>
              <w:t>202</w:t>
            </w:r>
            <w:r>
              <w:rPr>
                <w:rFonts w:hint="eastAsia" w:ascii="Times New Roman" w:hAnsi="Times New Roman" w:eastAsia="宋体" w:cs="Times New Roman"/>
                <w:b w:val="0"/>
                <w:bCs w:val="0"/>
                <w:sz w:val="16"/>
                <w:szCs w:val="16"/>
                <w:lang w:val="en-US" w:eastAsia="zh-CN"/>
              </w:rPr>
              <w:t>2</w:t>
            </w:r>
            <w:r>
              <w:rPr>
                <w:rFonts w:ascii="Times New Roman" w:hAnsi="Times New Roman" w:eastAsia="宋体" w:cs="Times New Roman"/>
                <w:b w:val="0"/>
                <w:bCs w:val="0"/>
                <w:sz w:val="16"/>
                <w:szCs w:val="16"/>
              </w:rPr>
              <w:t>年</w:t>
            </w:r>
            <w:r>
              <w:rPr>
                <w:rFonts w:hint="eastAsia" w:ascii="Times New Roman" w:hAnsi="Times New Roman" w:eastAsia="宋体" w:cs="Times New Roman"/>
                <w:b w:val="0"/>
                <w:bCs w:val="0"/>
                <w:sz w:val="16"/>
                <w:szCs w:val="16"/>
                <w:lang w:val="en-US" w:eastAsia="zh-CN"/>
              </w:rPr>
              <w:t>5</w:t>
            </w:r>
            <w:r>
              <w:rPr>
                <w:rFonts w:ascii="Times New Roman" w:hAnsi="Times New Roman" w:eastAsia="宋体" w:cs="Times New Roman"/>
                <w:b w:val="0"/>
                <w:bCs w:val="0"/>
                <w:sz w:val="16"/>
                <w:szCs w:val="16"/>
              </w:rPr>
              <w:t>月</w:t>
            </w:r>
          </w:p>
        </w:tc>
      </w:tr>
      <w:tr>
        <w:tblPrEx>
          <w:tblCellMar>
            <w:top w:w="0" w:type="dxa"/>
            <w:left w:w="28" w:type="dxa"/>
            <w:bottom w:w="0" w:type="dxa"/>
            <w:right w:w="28" w:type="dxa"/>
          </w:tblCellMar>
        </w:tblPrEx>
        <w:trPr>
          <w:trHeight w:val="389" w:hRule="atLeast"/>
        </w:trPr>
        <w:tc>
          <w:tcPr>
            <w:tcW w:w="51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 xml:space="preserve">污染物排放达标与总量控制（工业建设项目详填） </w:t>
            </w: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污染物</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原有排</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放量(1)</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本期工程实际排放</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浓度(2)</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本期工程允许</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排放浓度(3)</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本期工程产</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生量(4)</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本期工程自身</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削减量(5)</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本期工程实际</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排放量(6)</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本期工程核定</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排放总量(7)</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本期工程“以新带老”削</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减量(8)</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全厂实际排放总量(9)</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全厂核定排放总</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量(10)</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区域平衡替代</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削减量(11)</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eastAsia="zh-CN"/>
              </w:rPr>
            </w:pPr>
            <w:r>
              <w:rPr>
                <w:rFonts w:ascii="Times New Roman" w:hAnsi="Times New Roman" w:eastAsia="宋体" w:cs="Times New Roman"/>
                <w:b/>
                <w:bCs/>
                <w:sz w:val="16"/>
                <w:szCs w:val="16"/>
              </w:rPr>
              <w:t>排放增减</w:t>
            </w:r>
          </w:p>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量(12)</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废水</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化学需氧量</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氨氮</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石油类</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废气</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二氧化硫</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烟尘</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工业粉尘</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160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工业固体废物</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945" w:type="dxa"/>
            <w:vMerge w:val="restart"/>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与项目有关的 其他特征污染 物</w:t>
            </w:r>
          </w:p>
        </w:tc>
        <w:tc>
          <w:tcPr>
            <w:tcW w:w="664"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val="en-US" w:eastAsia="zh-CN"/>
              </w:rPr>
            </w:pPr>
            <w:r>
              <w:rPr>
                <w:rFonts w:hint="eastAsia" w:ascii="Times New Roman" w:hAnsi="Times New Roman" w:eastAsia="宋体" w:cs="Times New Roman"/>
                <w:b/>
                <w:bCs/>
                <w:sz w:val="16"/>
                <w:szCs w:val="16"/>
                <w:lang w:val="en-US" w:eastAsia="zh-CN"/>
              </w:rPr>
              <w:t>/</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　</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945"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664"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hint="eastAsia" w:ascii="Times New Roman" w:hAnsi="Times New Roman" w:eastAsia="宋体" w:cs="Times New Roman"/>
                <w:b/>
                <w:bCs/>
                <w:sz w:val="16"/>
                <w:szCs w:val="16"/>
                <w:lang w:val="en-US" w:eastAsia="zh-CN"/>
              </w:rPr>
            </w:pPr>
            <w:r>
              <w:rPr>
                <w:rFonts w:hint="eastAsia" w:ascii="Times New Roman" w:hAnsi="Times New Roman" w:eastAsia="宋体" w:cs="Times New Roman"/>
                <w:b/>
                <w:bCs/>
                <w:sz w:val="16"/>
                <w:szCs w:val="16"/>
                <w:lang w:val="en-US" w:eastAsia="zh-CN"/>
              </w:rPr>
              <w:t>/</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　</w:t>
            </w:r>
          </w:p>
        </w:tc>
      </w:tr>
      <w:tr>
        <w:tblPrEx>
          <w:tblCellMar>
            <w:top w:w="0" w:type="dxa"/>
            <w:left w:w="28" w:type="dxa"/>
            <w:bottom w:w="0" w:type="dxa"/>
            <w:right w:w="28" w:type="dxa"/>
          </w:tblCellMar>
        </w:tblPrEx>
        <w:trPr>
          <w:trHeight w:val="200" w:hRule="atLeast"/>
        </w:trPr>
        <w:tc>
          <w:tcPr>
            <w:tcW w:w="5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945" w:type="dxa"/>
            <w:vMerge w:val="continue"/>
            <w:tcBorders>
              <w:top w:val="nil"/>
              <w:left w:val="single" w:color="000000" w:sz="4" w:space="0"/>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p>
        </w:tc>
        <w:tc>
          <w:tcPr>
            <w:tcW w:w="664"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bCs/>
                <w:sz w:val="16"/>
                <w:szCs w:val="16"/>
              </w:rPr>
              <w:t>/</w:t>
            </w:r>
          </w:p>
        </w:tc>
        <w:tc>
          <w:tcPr>
            <w:tcW w:w="633"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211"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5"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47"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700"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878"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1089" w:type="dxa"/>
            <w:gridSpan w:val="2"/>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08" w:type="dxa"/>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w:t>
            </w:r>
          </w:p>
        </w:tc>
        <w:tc>
          <w:tcPr>
            <w:tcW w:w="982" w:type="dxa"/>
            <w:tcBorders>
              <w:top w:val="nil"/>
              <w:left w:val="nil"/>
              <w:bottom w:val="single" w:color="000000" w:sz="4" w:space="0"/>
              <w:right w:val="single" w:color="000000" w:sz="4" w:space="0"/>
            </w:tcBorders>
            <w:noWrap w:val="0"/>
            <w:vAlign w:val="center"/>
          </w:tcPr>
          <w:p>
            <w:pPr>
              <w:widowControl w:val="0"/>
              <w:adjustRightInd/>
              <w:snapToGrid/>
              <w:spacing w:after="0" w:line="200" w:lineRule="exact"/>
              <w:jc w:val="both"/>
              <w:rPr>
                <w:rFonts w:ascii="Times New Roman" w:hAnsi="Times New Roman" w:eastAsia="宋体" w:cs="Times New Roman"/>
                <w:b w:val="0"/>
                <w:bCs w:val="0"/>
                <w:sz w:val="16"/>
                <w:szCs w:val="16"/>
              </w:rPr>
            </w:pPr>
            <w:r>
              <w:rPr>
                <w:rFonts w:ascii="Times New Roman" w:hAnsi="Times New Roman" w:eastAsia="宋体" w:cs="Times New Roman"/>
                <w:b w:val="0"/>
                <w:bCs w:val="0"/>
                <w:sz w:val="16"/>
                <w:szCs w:val="16"/>
              </w:rPr>
              <w:t>　</w:t>
            </w:r>
          </w:p>
        </w:tc>
      </w:tr>
      <w:tr>
        <w:tblPrEx>
          <w:tblCellMar>
            <w:top w:w="0" w:type="dxa"/>
            <w:left w:w="28" w:type="dxa"/>
            <w:bottom w:w="0" w:type="dxa"/>
            <w:right w:w="28" w:type="dxa"/>
          </w:tblCellMar>
        </w:tblPrEx>
        <w:trPr>
          <w:trHeight w:val="389" w:hRule="atLeast"/>
        </w:trPr>
        <w:tc>
          <w:tcPr>
            <w:tcW w:w="14180" w:type="dxa"/>
            <w:gridSpan w:val="18"/>
            <w:tcBorders>
              <w:top w:val="single" w:color="000000" w:sz="4" w:space="0"/>
              <w:left w:val="nil"/>
              <w:bottom w:val="nil"/>
              <w:right w:val="nil"/>
            </w:tcBorders>
            <w:noWrap/>
            <w:vAlign w:val="center"/>
          </w:tcPr>
          <w:p>
            <w:pPr>
              <w:widowControl w:val="0"/>
              <w:adjustRightInd/>
              <w:snapToGrid/>
              <w:spacing w:after="0" w:line="200" w:lineRule="exact"/>
              <w:jc w:val="both"/>
              <w:rPr>
                <w:rFonts w:ascii="Times New Roman" w:hAnsi="Times New Roman" w:eastAsia="宋体" w:cs="Times New Roman"/>
                <w:b/>
                <w:bCs/>
                <w:sz w:val="16"/>
                <w:szCs w:val="16"/>
              </w:rPr>
            </w:pPr>
            <w:r>
              <w:rPr>
                <w:rFonts w:ascii="Times New Roman" w:hAnsi="Times New Roman" w:eastAsia="宋体" w:cs="Times New Roman"/>
                <w:b w:val="0"/>
                <w:bCs w:val="0"/>
                <w:sz w:val="16"/>
                <w:szCs w:val="16"/>
              </w:rPr>
              <w:t>注：1、排放增减量：（+）表示增加，（-）表示减少。2、(12)=(6)-(8)-(11)，（9）= (4)-(5)-(8)- (11) +（1）。3、计量单位：废水排放量——万吨/年；废气排放量——万标立方米/年；工业固体废物排放量——万吨/年；水污染物排放浓度——毫克/升</w:t>
            </w:r>
          </w:p>
        </w:tc>
      </w:tr>
    </w:tbl>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b/>
          <w:sz w:val="24"/>
          <w:szCs w:val="24"/>
          <w:lang w:val="en-US" w:eastAsia="zh-CN"/>
        </w:rPr>
      </w:pPr>
      <w:r>
        <w:rPr>
          <w:rFonts w:hint="eastAsia"/>
          <w:b/>
          <w:sz w:val="24"/>
          <w:szCs w:val="24"/>
          <w:lang w:val="en-US" w:eastAsia="zh-CN"/>
        </w:rPr>
        <w:t>附件1：环评批复</w:t>
      </w:r>
    </w:p>
    <w:p>
      <w:pPr>
        <w:pStyle w:val="2"/>
        <w:rPr>
          <w:rFonts w:hint="eastAsia"/>
          <w:b/>
          <w:sz w:val="24"/>
          <w:szCs w:val="24"/>
          <w:lang w:val="en-US" w:eastAsia="zh-CN"/>
        </w:rPr>
      </w:pPr>
      <w:r>
        <w:rPr>
          <w:rFonts w:hint="eastAsia"/>
          <w:b/>
          <w:sz w:val="24"/>
          <w:szCs w:val="24"/>
          <w:lang w:val="en-US" w:eastAsia="zh-CN"/>
        </w:rPr>
        <w:drawing>
          <wp:inline distT="0" distB="0" distL="114300" distR="114300">
            <wp:extent cx="5272405" cy="7251065"/>
            <wp:effectExtent l="0" t="0" r="635" b="3175"/>
            <wp:docPr id="7" name="图片 7" descr="微信图片_2022080514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805140902"/>
                    <pic:cNvPicPr>
                      <a:picLocks noChangeAspect="1"/>
                    </pic:cNvPicPr>
                  </pic:nvPicPr>
                  <pic:blipFill>
                    <a:blip r:embed="rId13"/>
                    <a:stretch>
                      <a:fillRect/>
                    </a:stretch>
                  </pic:blipFill>
                  <pic:spPr>
                    <a:xfrm>
                      <a:off x="0" y="0"/>
                      <a:ext cx="5272405" cy="7251065"/>
                    </a:xfrm>
                    <a:prstGeom prst="rect">
                      <a:avLst/>
                    </a:prstGeom>
                  </pic:spPr>
                </pic:pic>
              </a:graphicData>
            </a:graphic>
          </wp:inline>
        </w:drawing>
      </w:r>
      <w:r>
        <w:rPr>
          <w:rFonts w:hint="eastAsia"/>
          <w:b/>
          <w:sz w:val="24"/>
          <w:szCs w:val="24"/>
          <w:lang w:val="en-US" w:eastAsia="zh-CN"/>
        </w:rPr>
        <w:drawing>
          <wp:inline distT="0" distB="0" distL="114300" distR="114300">
            <wp:extent cx="5272405" cy="7251065"/>
            <wp:effectExtent l="0" t="0" r="635" b="3175"/>
            <wp:docPr id="8" name="图片 8" descr="微信图片_2022080514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051409021"/>
                    <pic:cNvPicPr>
                      <a:picLocks noChangeAspect="1"/>
                    </pic:cNvPicPr>
                  </pic:nvPicPr>
                  <pic:blipFill>
                    <a:blip r:embed="rId14"/>
                    <a:stretch>
                      <a:fillRect/>
                    </a:stretch>
                  </pic:blipFill>
                  <pic:spPr>
                    <a:xfrm>
                      <a:off x="0" y="0"/>
                      <a:ext cx="5272405" cy="7251065"/>
                    </a:xfrm>
                    <a:prstGeom prst="rect">
                      <a:avLst/>
                    </a:prstGeom>
                  </pic:spPr>
                </pic:pic>
              </a:graphicData>
            </a:graphic>
          </wp:inline>
        </w:drawing>
      </w:r>
    </w:p>
    <w:p>
      <w:pPr>
        <w:pStyle w:val="2"/>
        <w:rPr>
          <w:rFonts w:hint="eastAsia"/>
          <w:b/>
          <w:sz w:val="24"/>
          <w:szCs w:val="24"/>
          <w:lang w:val="en-US" w:eastAsia="zh-CN"/>
        </w:rPr>
      </w:pPr>
      <w:r>
        <w:rPr>
          <w:rFonts w:hint="eastAsia"/>
          <w:b/>
          <w:sz w:val="24"/>
          <w:szCs w:val="24"/>
          <w:lang w:val="en-US" w:eastAsia="zh-CN"/>
        </w:rPr>
        <w:drawing>
          <wp:inline distT="0" distB="0" distL="114300" distR="114300">
            <wp:extent cx="5272405" cy="7251065"/>
            <wp:effectExtent l="0" t="0" r="635" b="3175"/>
            <wp:docPr id="9" name="图片 9" descr="微信图片_2022080514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8051409022"/>
                    <pic:cNvPicPr>
                      <a:picLocks noChangeAspect="1"/>
                    </pic:cNvPicPr>
                  </pic:nvPicPr>
                  <pic:blipFill>
                    <a:blip r:embed="rId15"/>
                    <a:stretch>
                      <a:fillRect/>
                    </a:stretch>
                  </pic:blipFill>
                  <pic:spPr>
                    <a:xfrm>
                      <a:off x="0" y="0"/>
                      <a:ext cx="5272405" cy="7251065"/>
                    </a:xfrm>
                    <a:prstGeom prst="rect">
                      <a:avLst/>
                    </a:prstGeom>
                  </pic:spPr>
                </pic:pic>
              </a:graphicData>
            </a:graphic>
          </wp:inline>
        </w:drawing>
      </w:r>
    </w:p>
    <w:p>
      <w:pPr>
        <w:pStyle w:val="2"/>
        <w:rPr>
          <w:rFonts w:hint="eastAsia"/>
          <w:b/>
          <w:sz w:val="24"/>
          <w:szCs w:val="24"/>
          <w:lang w:val="en-US" w:eastAsia="zh-CN"/>
        </w:rPr>
      </w:pPr>
      <w:r>
        <w:rPr>
          <w:rFonts w:hint="eastAsia"/>
          <w:b/>
          <w:sz w:val="24"/>
          <w:szCs w:val="24"/>
          <w:lang w:val="en-US" w:eastAsia="zh-CN"/>
        </w:rPr>
        <w:drawing>
          <wp:inline distT="0" distB="0" distL="114300" distR="114300">
            <wp:extent cx="5272405" cy="7251065"/>
            <wp:effectExtent l="0" t="0" r="635" b="3175"/>
            <wp:docPr id="10" name="图片 10" descr="微信图片_2022080514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8051409023"/>
                    <pic:cNvPicPr>
                      <a:picLocks noChangeAspect="1"/>
                    </pic:cNvPicPr>
                  </pic:nvPicPr>
                  <pic:blipFill>
                    <a:blip r:embed="rId16"/>
                    <a:stretch>
                      <a:fillRect/>
                    </a:stretch>
                  </pic:blipFill>
                  <pic:spPr>
                    <a:xfrm>
                      <a:off x="0" y="0"/>
                      <a:ext cx="5272405" cy="7251065"/>
                    </a:xfrm>
                    <a:prstGeom prst="rect">
                      <a:avLst/>
                    </a:prstGeom>
                  </pic:spPr>
                </pic:pic>
              </a:graphicData>
            </a:graphic>
          </wp:inline>
        </w:drawing>
      </w: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eastAsia" w:eastAsia="宋体_x0006_峩...."/>
          <w:b/>
          <w:sz w:val="24"/>
          <w:szCs w:val="24"/>
          <w:lang w:eastAsia="zh-CN"/>
        </w:rPr>
      </w:pPr>
    </w:p>
    <w:p>
      <w:pPr>
        <w:pStyle w:val="2"/>
        <w:rPr>
          <w:rFonts w:hint="default"/>
          <w:b/>
          <w:sz w:val="24"/>
          <w:szCs w:val="24"/>
          <w:lang w:val="en-US" w:eastAsia="zh-CN"/>
        </w:rPr>
      </w:pPr>
      <w:r>
        <w:rPr>
          <w:rFonts w:hint="eastAsia"/>
          <w:b/>
          <w:sz w:val="24"/>
          <w:szCs w:val="24"/>
          <w:lang w:val="en-US" w:eastAsia="zh-CN"/>
        </w:rPr>
        <w:t>附件2：检测报告</w:t>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1610" cy="3719830"/>
            <wp:effectExtent l="0" t="0" r="11430" b="13970"/>
            <wp:docPr id="11" name="图片 11"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像"/>
                    <pic:cNvPicPr>
                      <a:picLocks noChangeAspect="1"/>
                    </pic:cNvPicPr>
                  </pic:nvPicPr>
                  <pic:blipFill>
                    <a:blip r:embed="rId17"/>
                    <a:stretch>
                      <a:fillRect/>
                    </a:stretch>
                  </pic:blipFill>
                  <pic:spPr>
                    <a:xfrm>
                      <a:off x="0" y="0"/>
                      <a:ext cx="5261610" cy="3719830"/>
                    </a:xfrm>
                    <a:prstGeom prst="rect">
                      <a:avLst/>
                    </a:prstGeom>
                  </pic:spPr>
                </pic:pic>
              </a:graphicData>
            </a:graphic>
          </wp:inline>
        </w:drawing>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7960" cy="7450455"/>
            <wp:effectExtent l="0" t="0" r="5080" b="1905"/>
            <wp:docPr id="13" name="图片 13" descr="图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像 (3)"/>
                    <pic:cNvPicPr>
                      <a:picLocks noChangeAspect="1"/>
                    </pic:cNvPicPr>
                  </pic:nvPicPr>
                  <pic:blipFill>
                    <a:blip r:embed="rId18"/>
                    <a:stretch>
                      <a:fillRect/>
                    </a:stretch>
                  </pic:blipFill>
                  <pic:spPr>
                    <a:xfrm>
                      <a:off x="0" y="0"/>
                      <a:ext cx="5267960" cy="7450455"/>
                    </a:xfrm>
                    <a:prstGeom prst="rect">
                      <a:avLst/>
                    </a:prstGeom>
                  </pic:spPr>
                </pic:pic>
              </a:graphicData>
            </a:graphic>
          </wp:inline>
        </w:drawing>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7960" cy="7450455"/>
            <wp:effectExtent l="0" t="0" r="5080" b="1905"/>
            <wp:docPr id="14" name="图片 14" descr="图像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像 (2) (2)"/>
                    <pic:cNvPicPr>
                      <a:picLocks noChangeAspect="1"/>
                    </pic:cNvPicPr>
                  </pic:nvPicPr>
                  <pic:blipFill>
                    <a:blip r:embed="rId19"/>
                    <a:stretch>
                      <a:fillRect/>
                    </a:stretch>
                  </pic:blipFill>
                  <pic:spPr>
                    <a:xfrm>
                      <a:off x="0" y="0"/>
                      <a:ext cx="5267960" cy="7450455"/>
                    </a:xfrm>
                    <a:prstGeom prst="rect">
                      <a:avLst/>
                    </a:prstGeom>
                  </pic:spPr>
                </pic:pic>
              </a:graphicData>
            </a:graphic>
          </wp:inline>
        </w:drawing>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7960" cy="7450455"/>
            <wp:effectExtent l="0" t="0" r="5080" b="1905"/>
            <wp:docPr id="15" name="图片 15" descr="图像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像 (3) (2)"/>
                    <pic:cNvPicPr>
                      <a:picLocks noChangeAspect="1"/>
                    </pic:cNvPicPr>
                  </pic:nvPicPr>
                  <pic:blipFill>
                    <a:blip r:embed="rId20"/>
                    <a:stretch>
                      <a:fillRect/>
                    </a:stretch>
                  </pic:blipFill>
                  <pic:spPr>
                    <a:xfrm>
                      <a:off x="0" y="0"/>
                      <a:ext cx="5267960" cy="7450455"/>
                    </a:xfrm>
                    <a:prstGeom prst="rect">
                      <a:avLst/>
                    </a:prstGeom>
                  </pic:spPr>
                </pic:pic>
              </a:graphicData>
            </a:graphic>
          </wp:inline>
        </w:drawing>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7960" cy="7450455"/>
            <wp:effectExtent l="0" t="0" r="5080" b="1905"/>
            <wp:docPr id="16" name="图片 16" descr="图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像 (4)"/>
                    <pic:cNvPicPr>
                      <a:picLocks noChangeAspect="1"/>
                    </pic:cNvPicPr>
                  </pic:nvPicPr>
                  <pic:blipFill>
                    <a:blip r:embed="rId21"/>
                    <a:stretch>
                      <a:fillRect/>
                    </a:stretch>
                  </pic:blipFill>
                  <pic:spPr>
                    <a:xfrm>
                      <a:off x="0" y="0"/>
                      <a:ext cx="5267960" cy="7450455"/>
                    </a:xfrm>
                    <a:prstGeom prst="rect">
                      <a:avLst/>
                    </a:prstGeom>
                  </pic:spPr>
                </pic:pic>
              </a:graphicData>
            </a:graphic>
          </wp:inline>
        </w:drawing>
      </w:r>
    </w:p>
    <w:p>
      <w:pPr>
        <w:pStyle w:val="2"/>
        <w:rPr>
          <w:rFonts w:hint="eastAsia" w:eastAsia="宋体_x0006_峩...."/>
          <w:b/>
          <w:sz w:val="24"/>
          <w:szCs w:val="24"/>
          <w:lang w:eastAsia="zh-CN"/>
        </w:rPr>
      </w:pPr>
      <w:r>
        <w:rPr>
          <w:rFonts w:hint="eastAsia" w:eastAsia="宋体_x0006_峩...."/>
          <w:b/>
          <w:sz w:val="24"/>
          <w:szCs w:val="24"/>
          <w:lang w:eastAsia="zh-CN"/>
        </w:rPr>
        <w:drawing>
          <wp:inline distT="0" distB="0" distL="114300" distR="114300">
            <wp:extent cx="5261610" cy="3719830"/>
            <wp:effectExtent l="0" t="0" r="11430" b="13970"/>
            <wp:docPr id="17" name="图片 17" descr="图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像 (2)"/>
                    <pic:cNvPicPr>
                      <a:picLocks noChangeAspect="1"/>
                    </pic:cNvPicPr>
                  </pic:nvPicPr>
                  <pic:blipFill>
                    <a:blip r:embed="rId22"/>
                    <a:stretch>
                      <a:fillRect/>
                    </a:stretch>
                  </pic:blipFill>
                  <pic:spPr>
                    <a:xfrm>
                      <a:off x="0" y="0"/>
                      <a:ext cx="5261610" cy="371983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宋体_x0006_峩....">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Style w:val="16"/>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6"/>
      </w:rPr>
    </w:pPr>
    <w:r>
      <w:fldChar w:fldCharType="begin"/>
    </w:r>
    <w:r>
      <w:rPr>
        <w:rStyle w:val="16"/>
      </w:rPr>
      <w:instrText xml:space="preserve">PAGE  </w:instrText>
    </w:r>
    <w:r>
      <w:fldChar w:fldCharType="separate"/>
    </w:r>
    <w:r>
      <w:rPr>
        <w:rStyle w:val="16"/>
      </w:rPr>
      <w:t>- 11 -</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Align="top"/>
      <w:pBdr>
        <w:between w:val="none" w:color="auto" w:sz="0" w:space="0"/>
      </w:pBdr>
    </w:pPr>
    <w:r>
      <w:fldChar w:fldCharType="begin"/>
    </w:r>
    <w:r>
      <w:rPr>
        <w:rStyle w:val="16"/>
      </w:rPr>
      <w:instrText xml:space="preserve"> PAGE  </w:instrText>
    </w:r>
    <w:r>
      <w:fldChar w:fldCharType="separate"/>
    </w:r>
    <w:r>
      <w:rPr>
        <w:rStyle w:val="16"/>
      </w:rPr>
      <w:t>- 11 -</w:t>
    </w:r>
    <w: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Style w:val="16"/>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spacing w:after="0"/>
      <w:rPr>
        <w:rStyle w:val="16"/>
        <w:rFonts w:hint="eastAsia" w:ascii="宋体" w:hAnsi="宋体"/>
        <w:sz w:val="28"/>
        <w:szCs w:val="28"/>
      </w:rPr>
    </w:pPr>
    <w:r>
      <w:rPr>
        <w:rStyle w:val="16"/>
        <w:rFonts w:hint="eastAsia" w:ascii="宋体" w:hAnsi="宋体"/>
        <w:sz w:val="28"/>
        <w:szCs w:val="28"/>
      </w:rPr>
      <w:t>—</w:t>
    </w:r>
    <w:r>
      <w:rPr>
        <w:rStyle w:val="16"/>
        <w:rFonts w:hint="eastAsia" w:ascii="宋体" w:hAnsi="宋体"/>
        <w:sz w:val="20"/>
        <w:szCs w:val="20"/>
      </w:rPr>
      <w:t xml:space="preserve">  </w:t>
    </w:r>
    <w:r>
      <w:rPr>
        <w:rFonts w:ascii="宋体" w:hAnsi="宋体"/>
        <w:sz w:val="26"/>
        <w:szCs w:val="26"/>
      </w:rPr>
      <w:fldChar w:fldCharType="begin"/>
    </w:r>
    <w:r>
      <w:rPr>
        <w:rStyle w:val="16"/>
        <w:rFonts w:ascii="宋体" w:hAnsi="宋体"/>
        <w:sz w:val="26"/>
        <w:szCs w:val="26"/>
      </w:rPr>
      <w:instrText xml:space="preserve">PAGE  </w:instrText>
    </w:r>
    <w:r>
      <w:rPr>
        <w:rFonts w:ascii="宋体" w:hAnsi="宋体"/>
        <w:sz w:val="26"/>
        <w:szCs w:val="26"/>
      </w:rPr>
      <w:fldChar w:fldCharType="separate"/>
    </w:r>
    <w:r>
      <w:rPr>
        <w:rStyle w:val="16"/>
        <w:rFonts w:ascii="宋体" w:hAnsi="宋体"/>
        <w:sz w:val="26"/>
        <w:szCs w:val="26"/>
      </w:rPr>
      <w:t>43</w:t>
    </w:r>
    <w:r>
      <w:rPr>
        <w:rFonts w:ascii="宋体" w:hAnsi="宋体"/>
        <w:sz w:val="26"/>
        <w:szCs w:val="26"/>
      </w:rPr>
      <w:fldChar w:fldCharType="end"/>
    </w:r>
    <w:r>
      <w:rPr>
        <w:rStyle w:val="16"/>
        <w:rFonts w:hint="eastAsia" w:ascii="宋体" w:hAnsi="宋体"/>
        <w:sz w:val="20"/>
        <w:szCs w:val="20"/>
      </w:rPr>
      <w:t xml:space="preserve">  </w:t>
    </w:r>
    <w:r>
      <w:rPr>
        <w:rStyle w:val="16"/>
        <w:rFonts w:hint="eastAsia" w:ascii="宋体" w:hAnsi="宋体"/>
        <w:sz w:val="28"/>
        <w:szCs w:val="28"/>
      </w:rPr>
      <w:t>—</w:t>
    </w:r>
  </w:p>
  <w:p>
    <w:pPr>
      <w:pStyle w:val="8"/>
      <w:spacing w:after="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81FFB"/>
    <w:multiLevelType w:val="singleLevel"/>
    <w:tmpl w:val="93781FFB"/>
    <w:lvl w:ilvl="0" w:tentative="0">
      <w:start w:val="2"/>
      <w:numFmt w:val="decimal"/>
      <w:suff w:val="nothing"/>
      <w:lvlText w:val="（%1）"/>
      <w:lvlJc w:val="left"/>
    </w:lvl>
  </w:abstractNum>
  <w:abstractNum w:abstractNumId="1">
    <w:nsid w:val="94F06B2E"/>
    <w:multiLevelType w:val="singleLevel"/>
    <w:tmpl w:val="94F06B2E"/>
    <w:lvl w:ilvl="0" w:tentative="0">
      <w:start w:val="1"/>
      <w:numFmt w:val="decimal"/>
      <w:suff w:val="nothing"/>
      <w:lvlText w:val="%1、"/>
      <w:lvlJc w:val="left"/>
    </w:lvl>
  </w:abstractNum>
  <w:abstractNum w:abstractNumId="2">
    <w:nsid w:val="AFBF3F53"/>
    <w:multiLevelType w:val="singleLevel"/>
    <w:tmpl w:val="AFBF3F53"/>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MjA2Yjg2ODRjZTE1MTMwNzhmNDNhMmRiNzYyZGYifQ=="/>
  </w:docVars>
  <w:rsids>
    <w:rsidRoot w:val="500F3EAC"/>
    <w:rsid w:val="0081306A"/>
    <w:rsid w:val="02703095"/>
    <w:rsid w:val="032F513C"/>
    <w:rsid w:val="03520812"/>
    <w:rsid w:val="044561C0"/>
    <w:rsid w:val="0555243B"/>
    <w:rsid w:val="0682704E"/>
    <w:rsid w:val="06BC14B2"/>
    <w:rsid w:val="06CD70AD"/>
    <w:rsid w:val="0B835D6E"/>
    <w:rsid w:val="11D11A09"/>
    <w:rsid w:val="11EF4881"/>
    <w:rsid w:val="13946601"/>
    <w:rsid w:val="1B821A6D"/>
    <w:rsid w:val="201400DE"/>
    <w:rsid w:val="20705100"/>
    <w:rsid w:val="20CB0BA4"/>
    <w:rsid w:val="250C2CB9"/>
    <w:rsid w:val="25A32ED1"/>
    <w:rsid w:val="27CE3082"/>
    <w:rsid w:val="2985212C"/>
    <w:rsid w:val="2A161F8C"/>
    <w:rsid w:val="2A883F7B"/>
    <w:rsid w:val="2B4D6130"/>
    <w:rsid w:val="31043115"/>
    <w:rsid w:val="315B638E"/>
    <w:rsid w:val="320235D9"/>
    <w:rsid w:val="32B2576F"/>
    <w:rsid w:val="332068E9"/>
    <w:rsid w:val="33D06D06"/>
    <w:rsid w:val="34242462"/>
    <w:rsid w:val="34C401D1"/>
    <w:rsid w:val="374D2BFF"/>
    <w:rsid w:val="39144F66"/>
    <w:rsid w:val="396C1F8B"/>
    <w:rsid w:val="3B3C3894"/>
    <w:rsid w:val="3F5818E6"/>
    <w:rsid w:val="42634FBC"/>
    <w:rsid w:val="434A3F97"/>
    <w:rsid w:val="43E77A38"/>
    <w:rsid w:val="46F63F15"/>
    <w:rsid w:val="4BC11C1C"/>
    <w:rsid w:val="4E241889"/>
    <w:rsid w:val="500F3EAC"/>
    <w:rsid w:val="528A1057"/>
    <w:rsid w:val="58550FBC"/>
    <w:rsid w:val="5B5F57AC"/>
    <w:rsid w:val="5C4C5F1F"/>
    <w:rsid w:val="5C880E95"/>
    <w:rsid w:val="5CC6349B"/>
    <w:rsid w:val="5D730E2A"/>
    <w:rsid w:val="5DC53A34"/>
    <w:rsid w:val="5F4C3BF1"/>
    <w:rsid w:val="5F5024DD"/>
    <w:rsid w:val="5F6A357C"/>
    <w:rsid w:val="5F7845AD"/>
    <w:rsid w:val="5FB74A8F"/>
    <w:rsid w:val="60C82547"/>
    <w:rsid w:val="661A5EEF"/>
    <w:rsid w:val="6C510B18"/>
    <w:rsid w:val="6D140D7C"/>
    <w:rsid w:val="718F0BA8"/>
    <w:rsid w:val="72A45D91"/>
    <w:rsid w:val="783D4EDC"/>
    <w:rsid w:val="78E337CD"/>
    <w:rsid w:val="7962445F"/>
    <w:rsid w:val="7B611E27"/>
    <w:rsid w:val="7D7168BA"/>
    <w:rsid w:val="7DB932AE"/>
    <w:rsid w:val="7FD76DDC"/>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_x0006_峩...." w:hAnsi="Times New Roman" w:eastAsia="宋体_x0006_峩...." w:cs="宋体_x0006_峩...."/>
      <w:color w:val="000000"/>
      <w:sz w:val="24"/>
      <w:szCs w:val="24"/>
      <w:lang w:val="en-US" w:eastAsia="zh-CN" w:bidi="ar-SA"/>
    </w:rPr>
  </w:style>
  <w:style w:type="paragraph" w:styleId="3">
    <w:name w:val="Normal Indent"/>
    <w:basedOn w:val="1"/>
    <w:qFormat/>
    <w:uiPriority w:val="0"/>
    <w:pPr>
      <w:ind w:firstLine="420"/>
    </w:pPr>
    <w:rPr>
      <w:szCs w:val="20"/>
    </w:rPr>
  </w:style>
  <w:style w:type="paragraph" w:styleId="4">
    <w:name w:val="Body Text"/>
    <w:basedOn w:val="1"/>
    <w:next w:val="5"/>
    <w:qFormat/>
    <w:uiPriority w:val="0"/>
    <w:pPr>
      <w:widowControl/>
      <w:snapToGrid w:val="0"/>
      <w:spacing w:before="60" w:after="160" w:line="259" w:lineRule="auto"/>
      <w:ind w:right="113"/>
    </w:pPr>
    <w:rPr>
      <w:kern w:val="0"/>
      <w:sz w:val="18"/>
      <w:szCs w:val="20"/>
    </w:rPr>
  </w:style>
  <w:style w:type="paragraph" w:customStyle="1" w:styleId="5">
    <w:name w:val="xl27"/>
    <w:basedOn w:val="1"/>
    <w:qFormat/>
    <w:uiPriority w:val="0"/>
    <w:pPr>
      <w:pBdr>
        <w:bottom w:val="single" w:color="auto" w:sz="4" w:space="0"/>
        <w:right w:val="single" w:color="auto" w:sz="4" w:space="0"/>
      </w:pBdr>
      <w:spacing w:before="100" w:beforeAutospacing="1" w:after="100" w:afterAutospacing="1"/>
      <w:jc w:val="center"/>
    </w:pPr>
    <w:rPr>
      <w:rFonts w:eastAsia="Arial Unicode MS"/>
      <w:szCs w:val="21"/>
    </w:rPr>
  </w:style>
  <w:style w:type="paragraph" w:styleId="6">
    <w:name w:val="Body Text Indent"/>
    <w:basedOn w:val="1"/>
    <w:qFormat/>
    <w:uiPriority w:val="0"/>
    <w:pPr>
      <w:spacing w:line="440" w:lineRule="exact"/>
      <w:ind w:firstLine="525"/>
    </w:pPr>
    <w:rPr>
      <w:sz w:val="28"/>
      <w:szCs w:val="20"/>
    </w:rPr>
  </w:style>
  <w:style w:type="paragraph" w:styleId="7">
    <w:name w:val="Plain Text"/>
    <w:basedOn w:val="1"/>
    <w:qFormat/>
    <w:uiPriority w:val="0"/>
    <w:rPr>
      <w:rFonts w:ascii="宋体" w:hAnsi="Courier New" w:cs="Courier New"/>
      <w:kern w:val="2"/>
      <w:sz w:val="21"/>
      <w:szCs w:val="21"/>
    </w:rPr>
  </w:style>
  <w:style w:type="paragraph" w:styleId="8">
    <w:name w:val="footer"/>
    <w:basedOn w:val="1"/>
    <w:qFormat/>
    <w:uiPriority w:val="0"/>
    <w:pPr>
      <w:tabs>
        <w:tab w:val="center" w:pos="4153"/>
        <w:tab w:val="right" w:pos="8306"/>
      </w:tabs>
    </w:pPr>
    <w:rPr>
      <w:rFonts w:eastAsia="宋体"/>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List"/>
    <w:basedOn w:val="1"/>
    <w:qFormat/>
    <w:uiPriority w:val="0"/>
    <w:pPr>
      <w:ind w:left="200" w:hanging="200" w:hangingChars="200"/>
    </w:pPr>
  </w:style>
  <w:style w:type="paragraph" w:styleId="11">
    <w:name w:val="toc 2"/>
    <w:basedOn w:val="1"/>
    <w:next w:val="1"/>
    <w:qFormat/>
    <w:uiPriority w:val="39"/>
    <w:pPr>
      <w:ind w:left="210"/>
      <w:jc w:val="left"/>
    </w:pPr>
    <w:rPr>
      <w:smallCaps/>
      <w:sz w:val="20"/>
    </w:rPr>
  </w:style>
  <w:style w:type="paragraph" w:styleId="12">
    <w:name w:val="Body Text First Indent 2"/>
    <w:basedOn w:val="6"/>
    <w:next w:val="1"/>
    <w:qFormat/>
    <w:uiPriority w:val="0"/>
    <w:pPr>
      <w:spacing w:after="120" w:line="240" w:lineRule="auto"/>
      <w:ind w:left="420" w:leftChars="200" w:firstLine="420" w:firstLineChars="200"/>
    </w:pPr>
    <w:rPr>
      <w:sz w:val="21"/>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styleId="17">
    <w:name w:val="List Paragraph"/>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18">
    <w:name w:val="page number"/>
    <w:basedOn w:val="15"/>
    <w:qFormat/>
    <w:uiPriority w:val="0"/>
  </w:style>
  <w:style w:type="paragraph" w:customStyle="1" w:styleId="19">
    <w:name w:val="表格"/>
    <w:basedOn w:val="3"/>
    <w:qFormat/>
    <w:uiPriority w:val="0"/>
    <w:pPr>
      <w:adjustRightInd w:val="0"/>
      <w:ind w:firstLineChars="200"/>
      <w:jc w:val="center"/>
      <w:textAlignment w:val="baseline"/>
    </w:pPr>
    <w:rPr>
      <w:kern w:val="0"/>
      <w:sz w:val="20"/>
    </w:rPr>
  </w:style>
  <w:style w:type="paragraph" w:customStyle="1" w:styleId="20">
    <w:name w:val="Re-表中文字"/>
    <w:basedOn w:val="1"/>
    <w:qFormat/>
    <w:uiPriority w:val="0"/>
    <w:pPr>
      <w:jc w:val="center"/>
    </w:pPr>
    <w:rPr>
      <w:kern w:val="0"/>
      <w:szCs w:val="21"/>
    </w:rPr>
  </w:style>
  <w:style w:type="paragraph" w:customStyle="1" w:styleId="21">
    <w:name w:val="正文样式1"/>
    <w:basedOn w:val="1"/>
    <w:qFormat/>
    <w:uiPriority w:val="0"/>
    <w:pPr>
      <w:adjustRightInd w:val="0"/>
      <w:spacing w:line="288" w:lineRule="auto"/>
      <w:ind w:firstLine="360" w:firstLineChars="150"/>
      <w:textAlignment w:val="baseline"/>
    </w:pPr>
    <w:rPr>
      <w:kern w:val="0"/>
      <w:sz w:val="24"/>
      <w:szCs w:val="20"/>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啊啊"/>
    <w:basedOn w:val="1"/>
    <w:qFormat/>
    <w:uiPriority w:val="0"/>
    <w:pPr>
      <w:spacing w:line="360" w:lineRule="auto"/>
      <w:ind w:firstLine="200" w:firstLineChars="200"/>
    </w:pPr>
    <w:rPr>
      <w:sz w:val="28"/>
      <w:szCs w:val="28"/>
    </w:rPr>
  </w:style>
  <w:style w:type="paragraph" w:customStyle="1" w:styleId="2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13464</Words>
  <Characters>15021</Characters>
  <Lines>0</Lines>
  <Paragraphs>0</Paragraphs>
  <TotalTime>11</TotalTime>
  <ScaleCrop>false</ScaleCrop>
  <LinksUpToDate>false</LinksUpToDate>
  <CharactersWithSpaces>15250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2021-09-17T02:06:00Z</dcterms:created>
  <dc:creator>Ingram</dc:creator>
  <cp:lastModifiedBy>检验检测认证中心</cp:lastModifiedBy>
  <dcterms:modified xsi:type="dcterms:W3CDTF">2022-08-05T09:17:16Z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26F9F35721394007AE9452886B48984E</vt:lpwstr>
  </property>
</Properties>
</file>